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rPr>
          <w:rFonts w:ascii="Gill Sans MT" w:cs="Gill Sans MT" w:hAnsi="Gill Sans MT" w:eastAsia="Gill Sans MT"/>
          <w:sz w:val="22"/>
          <w:szCs w:val="22"/>
        </w:rPr>
      </w:pPr>
    </w:p>
    <w:p>
      <w:pPr>
        <w:pStyle w:val="Body"/>
        <w:jc w:val="both"/>
        <w:rPr>
          <w:rFonts w:ascii="Gill Sans MT" w:cs="Gill Sans MT" w:hAnsi="Gill Sans MT" w:eastAsia="Gill Sans MT"/>
          <w:sz w:val="22"/>
          <w:szCs w:val="22"/>
        </w:rPr>
      </w:pPr>
    </w:p>
    <w:p>
      <w:pPr>
        <w:pStyle w:val="Body"/>
        <w:jc w:val="both"/>
        <w:rPr>
          <w:rFonts w:ascii="Gill Sans MT" w:cs="Gill Sans MT" w:hAnsi="Gill Sans MT" w:eastAsia="Gill Sans MT"/>
          <w:sz w:val="22"/>
          <w:szCs w:val="22"/>
        </w:rPr>
      </w:pPr>
    </w:p>
    <w:p>
      <w:pPr>
        <w:pStyle w:val="Body"/>
        <w:jc w:val="both"/>
        <w:rPr>
          <w:rFonts w:ascii="Gill Sans MT" w:cs="Gill Sans MT" w:hAnsi="Gill Sans MT" w:eastAsia="Gill Sans MT"/>
          <w:sz w:val="22"/>
          <w:szCs w:val="22"/>
        </w:rPr>
      </w:pPr>
    </w:p>
    <w:p>
      <w:pPr>
        <w:pStyle w:val="Body"/>
        <w:jc w:val="both"/>
        <w:rPr>
          <w:rFonts w:ascii="Gill Sans MT" w:cs="Gill Sans MT" w:hAnsi="Gill Sans MT" w:eastAsia="Gill Sans MT"/>
          <w:sz w:val="22"/>
          <w:szCs w:val="22"/>
        </w:rPr>
      </w:pPr>
      <w:r>
        <w:rPr>
          <w:rFonts w:ascii="Gill Sans MT" w:cs="Gill Sans MT" w:hAnsi="Gill Sans MT" w:eastAsia="Gill Sans MT"/>
          <w:sz w:val="22"/>
          <w:szCs w:val="22"/>
          <w:rtl w:val="0"/>
        </w:rPr>
        <w:t>17 March 2020</w:t>
      </w:r>
    </w:p>
    <w:p>
      <w:pPr>
        <w:pStyle w:val="Body"/>
        <w:jc w:val="both"/>
        <w:rPr>
          <w:rFonts w:ascii="Gill Sans MT" w:cs="Gill Sans MT" w:hAnsi="Gill Sans MT" w:eastAsia="Gill Sans MT"/>
          <w:sz w:val="22"/>
          <w:szCs w:val="22"/>
        </w:rPr>
      </w:pPr>
    </w:p>
    <w:p>
      <w:pPr>
        <w:pStyle w:val="Body"/>
        <w:jc w:val="both"/>
        <w:rPr>
          <w:rFonts w:ascii="Gill Sans MT" w:cs="Gill Sans MT" w:hAnsi="Gill Sans MT" w:eastAsia="Gill Sans MT"/>
          <w:sz w:val="22"/>
          <w:szCs w:val="22"/>
        </w:rPr>
      </w:pPr>
      <w:r>
        <w:rPr>
          <w:rFonts w:ascii="Gill Sans MT" w:cs="Gill Sans MT" w:hAnsi="Gill Sans MT" w:eastAsia="Gill Sans MT"/>
          <w:sz w:val="22"/>
          <w:szCs w:val="22"/>
          <w:rtl w:val="0"/>
          <w:lang w:val="en-US"/>
        </w:rPr>
        <w:t>Dear Parents/Carers</w:t>
      </w:r>
    </w:p>
    <w:p>
      <w:pPr>
        <w:pStyle w:val="Body"/>
        <w:jc w:val="both"/>
        <w:rPr>
          <w:rFonts w:ascii="Gill Sans MT" w:cs="Gill Sans MT" w:hAnsi="Gill Sans MT" w:eastAsia="Gill Sans MT"/>
          <w:sz w:val="22"/>
          <w:szCs w:val="22"/>
        </w:rPr>
      </w:pPr>
    </w:p>
    <w:p>
      <w:pPr>
        <w:pStyle w:val="Default"/>
        <w:bidi w:val="0"/>
        <w:ind w:left="0" w:right="0" w:firstLine="0"/>
        <w:jc w:val="left"/>
        <w:rPr>
          <w:rFonts w:ascii="Helvetica" w:cs="Helvetica" w:hAnsi="Helvetica" w:eastAsia="Helvetica"/>
          <w:b w:val="0"/>
          <w:bCs w:val="0"/>
          <w:outline w:val="0"/>
          <w:color w:val="313131"/>
          <w:u w:val="single"/>
          <w:rtl w:val="0"/>
          <w14:textFill>
            <w14:solidFill>
              <w14:srgbClr w14:val="313131"/>
            </w14:solidFill>
          </w14:textFill>
        </w:rPr>
      </w:pPr>
      <w:r>
        <w:rPr>
          <w:rFonts w:ascii="Helvetica" w:hAnsi="Helvetica"/>
          <w:b w:val="1"/>
          <w:bCs w:val="1"/>
          <w:outline w:val="0"/>
          <w:color w:val="313131"/>
          <w:u w:val="single"/>
          <w:rtl w:val="0"/>
          <w:lang w:val="en-US"/>
          <w14:textFill>
            <w14:solidFill>
              <w14:srgbClr w14:val="313131"/>
            </w14:solidFill>
          </w14:textFill>
        </w:rPr>
        <w:t>Partial closure of Priory School</w:t>
      </w:r>
    </w:p>
    <w:p>
      <w:pPr>
        <w:pStyle w:val="Default"/>
        <w:bidi w:val="0"/>
        <w:ind w:left="0" w:right="0" w:firstLine="0"/>
        <w:jc w:val="left"/>
        <w:rPr>
          <w:rFonts w:ascii="Helvetica" w:cs="Helvetica" w:hAnsi="Helvetica" w:eastAsia="Helvetica"/>
          <w:outline w:val="0"/>
          <w:color w:val="313131"/>
          <w:rtl w:val="0"/>
          <w14:textFill>
            <w14:solidFill>
              <w14:srgbClr w14:val="313131"/>
            </w14:solidFill>
          </w14:textFill>
        </w:rPr>
      </w:pPr>
    </w:p>
    <w:p>
      <w:pPr>
        <w:pStyle w:val="Default"/>
        <w:bidi w:val="0"/>
        <w:ind w:left="0" w:right="0" w:firstLine="0"/>
        <w:jc w:val="left"/>
        <w:rPr>
          <w:rFonts w:ascii="Helvetica" w:cs="Helvetica" w:hAnsi="Helvetica" w:eastAsia="Helvetica"/>
          <w:outline w:val="0"/>
          <w:color w:val="313131"/>
          <w:rtl w:val="0"/>
          <w14:textFill>
            <w14:solidFill>
              <w14:srgbClr w14:val="313131"/>
            </w14:solidFill>
          </w14:textFill>
        </w:rPr>
      </w:pPr>
      <w:r>
        <w:rPr>
          <w:rFonts w:ascii="Helvetica" w:hAnsi="Helvetica"/>
          <w:outline w:val="0"/>
          <w:color w:val="313131"/>
          <w:rtl w:val="0"/>
          <w:lang w:val="en-US"/>
          <w14:textFill>
            <w14:solidFill>
              <w14:srgbClr w14:val="313131"/>
            </w14:solidFill>
          </w14:textFill>
        </w:rPr>
        <w:t>Following the Prime Minister</w:t>
      </w:r>
      <w:r>
        <w:rPr>
          <w:rFonts w:ascii="Helvetica" w:hAnsi="Helvetica" w:hint="default"/>
          <w:outline w:val="0"/>
          <w:color w:val="313131"/>
          <w:rtl w:val="0"/>
          <w:lang w:val="en-US"/>
          <w14:textFill>
            <w14:solidFill>
              <w14:srgbClr w14:val="313131"/>
            </w14:solidFill>
          </w14:textFill>
        </w:rPr>
        <w:t>’</w:t>
      </w:r>
      <w:r>
        <w:rPr>
          <w:rFonts w:ascii="Helvetica" w:hAnsi="Helvetica"/>
          <w:outline w:val="0"/>
          <w:color w:val="313131"/>
          <w:rtl w:val="0"/>
          <w:lang w:val="en-US"/>
          <w14:textFill>
            <w14:solidFill>
              <w14:srgbClr w14:val="313131"/>
            </w14:solidFill>
          </w14:textFill>
        </w:rPr>
        <w:t>s news conference this evening, outlining the Government</w:t>
      </w:r>
      <w:r>
        <w:rPr>
          <w:rFonts w:ascii="Helvetica" w:hAnsi="Helvetica" w:hint="default"/>
          <w:outline w:val="0"/>
          <w:color w:val="313131"/>
          <w:rtl w:val="0"/>
          <w:lang w:val="en-US"/>
          <w14:textFill>
            <w14:solidFill>
              <w14:srgbClr w14:val="313131"/>
            </w14:solidFill>
          </w14:textFill>
        </w:rPr>
        <w:t>’</w:t>
      </w:r>
      <w:r>
        <w:rPr>
          <w:rFonts w:ascii="Helvetica" w:hAnsi="Helvetica"/>
          <w:outline w:val="0"/>
          <w:color w:val="313131"/>
          <w:rtl w:val="0"/>
          <w:lang w:val="en-US"/>
          <w14:textFill>
            <w14:solidFill>
              <w14:srgbClr w14:val="313131"/>
            </w14:solidFill>
          </w14:textFill>
        </w:rPr>
        <w:t>s next steps to slow COVID-19, we write to provide further guidance on the current situation within school. At the time of writing, the Government has decided that schools should remain open, although non-essential contact with others is discouraged.</w:t>
      </w:r>
      <w:r>
        <w:rPr>
          <w:rFonts w:ascii="Helvetica" w:hAnsi="Helvetica" w:hint="default"/>
          <w:outline w:val="0"/>
          <w:color w:val="313131"/>
          <w:rtl w:val="0"/>
          <w:lang w:val="en-US"/>
          <w14:textFill>
            <w14:solidFill>
              <w14:srgbClr w14:val="313131"/>
            </w14:solidFill>
          </w14:textFill>
        </w:rPr>
        <w:t> </w:t>
      </w:r>
    </w:p>
    <w:p>
      <w:pPr>
        <w:pStyle w:val="Default"/>
        <w:bidi w:val="0"/>
        <w:ind w:left="0" w:right="0" w:firstLine="0"/>
        <w:jc w:val="left"/>
        <w:rPr>
          <w:rFonts w:ascii="Helvetica" w:cs="Helvetica" w:hAnsi="Helvetica" w:eastAsia="Helvetica"/>
          <w:outline w:val="0"/>
          <w:color w:val="313131"/>
          <w:rtl w:val="0"/>
          <w14:textFill>
            <w14:solidFill>
              <w14:srgbClr w14:val="313131"/>
            </w14:solidFill>
          </w14:textFill>
        </w:rPr>
      </w:pPr>
      <w:r>
        <w:rPr>
          <w:rFonts w:ascii="Helvetica" w:hAnsi="Helvetica" w:hint="default"/>
          <w:outline w:val="0"/>
          <w:color w:val="313131"/>
          <w:rtl w:val="0"/>
          <w:lang w:val="en-US"/>
          <w14:textFill>
            <w14:solidFill>
              <w14:srgbClr w14:val="313131"/>
            </w14:solidFill>
          </w14:textFill>
        </w:rPr>
        <w:t> </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outline w:val="0"/>
          <w:color w:val="313131"/>
          <w:u w:color="313131"/>
          <w:rtl w:val="0"/>
          <w:lang w:val="en-US"/>
          <w14:textFill>
            <w14:solidFill>
              <w14:srgbClr w14:val="313131"/>
            </w14:solidFill>
          </w14:textFill>
        </w:rPr>
        <w:t>Whilst we currently do not have any confirmed cases of COVID-19, we do have several staff absent who are currently self-isolating as they are displaying symptoms of COVID-19. We also have staff who are in higher risk categories, as defined by the Government, and as such have been advised to remain off work.</w:t>
      </w:r>
      <w:r>
        <w:rPr>
          <w:rFonts w:ascii="Helvetica" w:hAnsi="Helvetica" w:hint="default"/>
          <w:outline w:val="0"/>
          <w:color w:val="313131"/>
          <w:u w:color="313131"/>
          <w:rtl w:val="0"/>
          <w:lang w:val="en-US"/>
          <w14:textFill>
            <w14:solidFill>
              <w14:srgbClr w14:val="313131"/>
            </w14:solidFill>
          </w14:textFill>
        </w:rPr>
        <w:t xml:space="preserve">  </w:t>
      </w:r>
      <w:r>
        <w:rPr>
          <w:rFonts w:ascii="Helvetica" w:hAnsi="Helvetica"/>
          <w:outline w:val="0"/>
          <w:color w:val="313131"/>
          <w:u w:color="313131"/>
          <w:rtl w:val="0"/>
          <w:lang w:val="en-US"/>
          <w14:textFill>
            <w14:solidFill>
              <w14:srgbClr w14:val="313131"/>
            </w14:solidFill>
          </w14:textFill>
        </w:rPr>
        <w:t xml:space="preserve">This means that unfortunately, we will not have sufficient staff available to ensure adequate provision of learning and the safety of all of our students and will need to have a </w:t>
      </w:r>
      <w:r>
        <w:rPr>
          <w:rFonts w:ascii="Helvetica" w:hAnsi="Helvetica"/>
          <w:b w:val="1"/>
          <w:bCs w:val="1"/>
          <w:outline w:val="0"/>
          <w:color w:val="313131"/>
          <w:u w:color="313131"/>
          <w:rtl w:val="0"/>
          <w:lang w:val="en-US"/>
          <w14:textFill>
            <w14:solidFill>
              <w14:srgbClr w14:val="313131"/>
            </w14:solidFill>
          </w14:textFill>
        </w:rPr>
        <w:t xml:space="preserve">partial closure of the school for </w:t>
      </w:r>
      <w:r>
        <w:rPr>
          <w:rFonts w:ascii="Helvetica" w:hAnsi="Helvetica"/>
          <w:b w:val="1"/>
          <w:bCs w:val="1"/>
          <w:outline w:val="0"/>
          <w:color w:val="313131"/>
          <w:u w:val="single" w:color="313131"/>
          <w:rtl w:val="0"/>
          <w:lang w:val="en-US"/>
          <w14:textFill>
            <w14:solidFill>
              <w14:srgbClr w14:val="313131"/>
            </w14:solidFill>
          </w14:textFill>
        </w:rPr>
        <w:t>Year Nine</w:t>
      </w:r>
      <w:r>
        <w:rPr>
          <w:rFonts w:ascii="Helvetica" w:hAnsi="Helvetica"/>
          <w:b w:val="1"/>
          <w:bCs w:val="1"/>
          <w:outline w:val="0"/>
          <w:color w:val="313131"/>
          <w:u w:color="313131"/>
          <w:rtl w:val="0"/>
          <w:lang w:val="en-US"/>
          <w14:textFill>
            <w14:solidFill>
              <w14:srgbClr w14:val="313131"/>
            </w14:solidFill>
          </w14:textFill>
        </w:rPr>
        <w:t xml:space="preserve">, starting from Wednesday 18 March </w:t>
      </w:r>
      <w:r>
        <w:rPr>
          <w:rFonts w:ascii="Helvetica" w:hAnsi="Helvetica"/>
          <w:outline w:val="0"/>
          <w:color w:val="313131"/>
          <w:u w:color="313131"/>
          <w:rtl w:val="0"/>
          <w:lang w:val="en-US"/>
          <w14:textFill>
            <w14:solidFill>
              <w14:srgbClr w14:val="313131"/>
            </w14:solidFill>
          </w14:textFill>
        </w:rPr>
        <w:t>until at least the end of the week. We have tried to bring balance between prioritising the youngest students who need more direction with their studies, and the oldest in their preparation for upcoming GCSEs. If this presents any significant and unresolvable childcare issues, and/or if you are a healthcare worker who will need to have your child in school to fulfil your work commitments, we can have these students in school, but they may need to join another year group, or work independently.</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hint="default"/>
          <w:outline w:val="0"/>
          <w:color w:val="313131"/>
          <w:u w:color="313131"/>
          <w:rtl w:val="0"/>
          <w:lang w:val="en-US"/>
          <w14:textFill>
            <w14:solidFill>
              <w14:srgbClr w14:val="313131"/>
            </w14:solidFill>
          </w14:textFill>
        </w:rPr>
        <w:t> </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outline w:val="0"/>
          <w:color w:val="313131"/>
          <w:u w:color="313131"/>
          <w:rtl w:val="0"/>
          <w:lang w:val="en-US"/>
          <w14:textFill>
            <w14:solidFill>
              <w14:srgbClr w14:val="313131"/>
            </w14:solidFill>
          </w14:textFill>
        </w:rPr>
        <w:t>During the closure, schoolwork will be available on Show My Homework for students to complete.</w:t>
      </w:r>
      <w:r>
        <w:rPr>
          <w:rFonts w:ascii="Helvetica" w:hAnsi="Helvetica" w:hint="default"/>
          <w:outline w:val="0"/>
          <w:color w:val="313131"/>
          <w:u w:color="313131"/>
          <w:rtl w:val="0"/>
          <w:lang w:val="en-US"/>
          <w14:textFill>
            <w14:solidFill>
              <w14:srgbClr w14:val="313131"/>
            </w14:solidFill>
          </w14:textFill>
        </w:rPr>
        <w:t xml:space="preserve">  </w:t>
      </w:r>
      <w:r>
        <w:rPr>
          <w:rFonts w:ascii="Helvetica" w:hAnsi="Helvetica"/>
          <w:outline w:val="0"/>
          <w:color w:val="313131"/>
          <w:u w:color="313131"/>
          <w:rtl w:val="0"/>
          <w:lang w:val="en-US"/>
          <w14:textFill>
            <w14:solidFill>
              <w14:srgbClr w14:val="313131"/>
            </w14:solidFill>
          </w14:textFill>
        </w:rPr>
        <w:t>Staff will be available to answer queries and to track and monitor completion of the work. It is extremely important for students to engage meaningfully with this work, which will consolidate and build on current knowledge and will also cover new content.</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hint="default"/>
          <w:outline w:val="0"/>
          <w:color w:val="313131"/>
          <w:u w:color="313131"/>
          <w:rtl w:val="0"/>
          <w:lang w:val="en-US"/>
          <w14:textFill>
            <w14:solidFill>
              <w14:srgbClr w14:val="313131"/>
            </w14:solidFill>
          </w14:textFill>
        </w:rPr>
        <w:t> </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outline w:val="0"/>
          <w:color w:val="313131"/>
          <w:u w:color="313131"/>
          <w:rtl w:val="0"/>
          <w:lang w:val="en-US"/>
          <w14:textFill>
            <w14:solidFill>
              <w14:srgbClr w14:val="313131"/>
            </w14:solidFill>
          </w14:textFill>
        </w:rPr>
        <w:t>We are aware that examinations are fast approaching for year 11, but official guidance regarding these has not been shared with schools at present.</w:t>
      </w:r>
      <w:r>
        <w:rPr>
          <w:rFonts w:ascii="Helvetica" w:hAnsi="Helvetica" w:hint="default"/>
          <w:outline w:val="0"/>
          <w:color w:val="313131"/>
          <w:u w:color="313131"/>
          <w:rtl w:val="0"/>
          <w:lang w:val="en-US"/>
          <w14:textFill>
            <w14:solidFill>
              <w14:srgbClr w14:val="313131"/>
            </w14:solidFill>
          </w14:textFill>
        </w:rPr>
        <w:t xml:space="preserve">  </w:t>
      </w:r>
      <w:r>
        <w:rPr>
          <w:rFonts w:ascii="Helvetica" w:hAnsi="Helvetica"/>
          <w:outline w:val="0"/>
          <w:color w:val="313131"/>
          <w:u w:color="313131"/>
          <w:rtl w:val="0"/>
          <w:lang w:val="en-US"/>
          <w14:textFill>
            <w14:solidFill>
              <w14:srgbClr w14:val="313131"/>
            </w14:solidFill>
          </w14:textFill>
        </w:rPr>
        <w:t>Current advice is that students should continue to prepare for these as normal and school staff will continue to provide resources to help students prepare effectively.</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hint="default"/>
          <w:outline w:val="0"/>
          <w:color w:val="313131"/>
          <w:u w:color="313131"/>
          <w:rtl w:val="0"/>
          <w:lang w:val="en-US"/>
          <w14:textFill>
            <w14:solidFill>
              <w14:srgbClr w14:val="313131"/>
            </w14:solidFill>
          </w14:textFill>
        </w:rPr>
        <w:t> </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outline w:val="0"/>
          <w:color w:val="313131"/>
          <w:u w:color="313131"/>
          <w:rtl w:val="0"/>
          <w:lang w:val="en-US"/>
          <w14:textFill>
            <w14:solidFill>
              <w14:srgbClr w14:val="313131"/>
            </w14:solidFill>
          </w14:textFill>
        </w:rPr>
        <w:t>Please refer to previous letters for guidance on self-isolation and the symptoms that you should look for. The health and safety of our school community is our priority and we will be sending home any student with a persistent cough or a high temperature.</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hint="default"/>
          <w:outline w:val="0"/>
          <w:color w:val="313131"/>
          <w:u w:color="313131"/>
          <w:rtl w:val="0"/>
          <w:lang w:val="en-US"/>
          <w14:textFill>
            <w14:solidFill>
              <w14:srgbClr w14:val="313131"/>
            </w14:solidFill>
          </w14:textFill>
        </w:rPr>
        <w:t> </w:t>
      </w:r>
    </w:p>
    <w:p>
      <w:pPr>
        <w:pStyle w:val="Default"/>
        <w:bidi w:val="0"/>
        <w:ind w:left="0" w:right="0" w:firstLine="0"/>
        <w:jc w:val="left"/>
        <w:rPr>
          <w:rFonts w:ascii="Helvetica" w:cs="Helvetica" w:hAnsi="Helvetica" w:eastAsia="Helvetica"/>
          <w:outline w:val="0"/>
          <w:color w:val="313131"/>
          <w:u w:color="313131"/>
          <w:rtl w:val="0"/>
          <w14:textFill>
            <w14:solidFill>
              <w14:srgbClr w14:val="313131"/>
            </w14:solidFill>
          </w14:textFill>
        </w:rPr>
      </w:pPr>
      <w:r>
        <w:rPr>
          <w:rFonts w:ascii="Helvetica" w:hAnsi="Helvetica"/>
          <w:outline w:val="0"/>
          <w:color w:val="313131"/>
          <w:u w:color="313131"/>
          <w:rtl w:val="0"/>
          <w:lang w:val="en-US"/>
          <w14:textFill>
            <w14:solidFill>
              <w14:srgbClr w14:val="313131"/>
            </w14:solidFill>
          </w14:textFill>
        </w:rPr>
        <w:t>We will continue to update on the School</w:t>
      </w:r>
      <w:r>
        <w:rPr>
          <w:rFonts w:ascii="Helvetica" w:hAnsi="Helvetica" w:hint="default"/>
          <w:outline w:val="0"/>
          <w:color w:val="313131"/>
          <w:u w:color="313131"/>
          <w:rtl w:val="0"/>
          <w:lang w:val="en-US"/>
          <w14:textFill>
            <w14:solidFill>
              <w14:srgbClr w14:val="313131"/>
            </w14:solidFill>
          </w14:textFill>
        </w:rPr>
        <w:t>’</w:t>
      </w:r>
      <w:r>
        <w:rPr>
          <w:rFonts w:ascii="Helvetica" w:hAnsi="Helvetica"/>
          <w:outline w:val="0"/>
          <w:color w:val="313131"/>
          <w:u w:color="313131"/>
          <w:rtl w:val="0"/>
          <w:lang w:val="en-US"/>
          <w14:textFill>
            <w14:solidFill>
              <w14:srgbClr w14:val="313131"/>
            </w14:solidFill>
          </w14:textFill>
        </w:rPr>
        <w:t>s position when we have further information. Thank you for your continued support and understanding in these unprecedented times.</w:t>
      </w:r>
    </w:p>
    <w:p>
      <w:pPr>
        <w:pStyle w:val="Body"/>
        <w:jc w:val="both"/>
        <w:rPr>
          <w:rFonts w:ascii="Gill Sans MT" w:cs="Gill Sans MT" w:hAnsi="Gill Sans MT" w:eastAsia="Gill Sans MT"/>
          <w:sz w:val="22"/>
          <w:szCs w:val="22"/>
        </w:rPr>
      </w:pPr>
      <w:r>
        <w:rPr>
          <w:rFonts w:ascii="Gill Sans MT" w:cs="Gill Sans MT" w:hAnsi="Gill Sans MT" w:eastAsia="Gill Sans MT"/>
          <w:sz w:val="22"/>
          <w:szCs w:val="22"/>
          <w:rtl w:val="0"/>
          <w:lang w:val="en-US"/>
        </w:rPr>
        <w:t> </w:t>
      </w:r>
    </w:p>
    <w:p>
      <w:pPr>
        <w:pStyle w:val="Body"/>
        <w:jc w:val="both"/>
        <w:rPr>
          <w:rFonts w:ascii="Gill Sans MT" w:cs="Gill Sans MT" w:hAnsi="Gill Sans MT" w:eastAsia="Gill Sans MT"/>
          <w:sz w:val="22"/>
          <w:szCs w:val="22"/>
        </w:rPr>
      </w:pPr>
      <w:r>
        <w:rPr>
          <w:rFonts w:ascii="Gill Sans MT" w:cs="Gill Sans MT" w:hAnsi="Gill Sans MT" w:eastAsia="Gill Sans MT"/>
          <w:sz w:val="22"/>
          <w:szCs w:val="22"/>
          <w:rtl w:val="0"/>
          <w:lang w:val="en-US"/>
        </w:rPr>
        <w:t>Yours sincerely</w:t>
      </w:r>
    </w:p>
    <w:p>
      <w:pPr>
        <w:pStyle w:val="Body"/>
        <w:jc w:val="both"/>
        <w:rPr>
          <w:rFonts w:ascii="Gill Sans MT" w:cs="Gill Sans MT" w:hAnsi="Gill Sans MT" w:eastAsia="Gill Sans MT"/>
          <w:sz w:val="22"/>
          <w:szCs w:val="22"/>
        </w:rPr>
      </w:pPr>
    </w:p>
    <w:p>
      <w:pPr>
        <w:pStyle w:val="Body"/>
        <w:jc w:val="both"/>
        <w:rPr>
          <w:rFonts w:ascii="Gill Sans MT" w:cs="Gill Sans MT" w:hAnsi="Gill Sans MT" w:eastAsia="Gill Sans MT"/>
          <w:sz w:val="22"/>
          <w:szCs w:val="22"/>
        </w:rPr>
      </w:pPr>
      <w:r>
        <w:rPr>
          <w:rFonts w:ascii="Gill Sans MT" w:cs="Gill Sans MT" w:hAnsi="Gill Sans MT" w:eastAsia="Gill Sans MT"/>
          <w:sz w:val="22"/>
          <w:szCs w:val="22"/>
        </w:rPr>
        <w:drawing>
          <wp:inline distT="0" distB="0" distL="0" distR="0">
            <wp:extent cx="1725295" cy="6889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4">
                      <a:extLst/>
                    </a:blip>
                    <a:stretch>
                      <a:fillRect/>
                    </a:stretch>
                  </pic:blipFill>
                  <pic:spPr>
                    <a:xfrm>
                      <a:off x="0" y="0"/>
                      <a:ext cx="1725295" cy="688975"/>
                    </a:xfrm>
                    <a:prstGeom prst="rect">
                      <a:avLst/>
                    </a:prstGeom>
                    <a:ln w="12700" cap="flat">
                      <a:noFill/>
                      <a:miter lim="400000"/>
                    </a:ln>
                    <a:effectLst/>
                  </pic:spPr>
                </pic:pic>
              </a:graphicData>
            </a:graphic>
          </wp:inline>
        </w:drawing>
      </w:r>
    </w:p>
    <w:p>
      <w:pPr>
        <w:pStyle w:val="Body"/>
        <w:jc w:val="both"/>
        <w:rPr>
          <w:rFonts w:ascii="Gill Sans MT" w:cs="Gill Sans MT" w:hAnsi="Gill Sans MT" w:eastAsia="Gill Sans MT"/>
          <w:sz w:val="22"/>
          <w:szCs w:val="22"/>
        </w:rPr>
      </w:pPr>
      <w:r>
        <w:rPr>
          <w:rFonts w:ascii="Gill Sans MT" w:cs="Gill Sans MT" w:hAnsi="Gill Sans MT" w:eastAsia="Gill Sans MT"/>
          <w:sz w:val="22"/>
          <w:szCs w:val="22"/>
          <w:rtl w:val="0"/>
          <w:lang w:val="en-US"/>
        </w:rPr>
        <w:t>Mr Vaughan</w:t>
      </w:r>
    </w:p>
    <w:p>
      <w:pPr>
        <w:pStyle w:val="Body"/>
        <w:jc w:val="both"/>
      </w:pPr>
      <w:r>
        <w:rPr>
          <w:rFonts w:ascii="Gill Sans MT" w:cs="Gill Sans MT" w:hAnsi="Gill Sans MT" w:eastAsia="Gill Sans MT"/>
          <w:sz w:val="22"/>
          <w:szCs w:val="22"/>
          <w:rtl w:val="0"/>
          <w:lang w:val="en-US"/>
        </w:rPr>
        <w:t>Head Teacher</w:t>
      </w:r>
    </w:p>
    <w:sectPr>
      <w:headerReference w:type="default" r:id="rId5"/>
      <w:headerReference w:type="even" r:id="rId6"/>
      <w:footerReference w:type="default" r:id="rId7"/>
      <w:footerReference w:type="even" r:id="rId8"/>
      <w:pgSz w:w="11900" w:h="16840" w:orient="portrait"/>
      <w:pgMar w:top="1474" w:right="845" w:bottom="1134" w:left="1134" w:header="0"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Gill Sans MT">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4243" cy="1800225"/>
          <wp:effectExtent l="0" t="0" r="0" b="0"/>
          <wp:wrapNone/>
          <wp:docPr id="1073741825" name="officeArt object" descr="Priory_header.psd"/>
          <wp:cNvGraphicFramePr/>
          <a:graphic xmlns:a="http://schemas.openxmlformats.org/drawingml/2006/main">
            <a:graphicData uri="http://schemas.openxmlformats.org/drawingml/2006/picture">
              <pic:pic xmlns:pic="http://schemas.openxmlformats.org/drawingml/2006/picture">
                <pic:nvPicPr>
                  <pic:cNvPr id="1073741825" name="Priory_header.psd" descr="Priory_header.psd"/>
                  <pic:cNvPicPr>
                    <a:picLocks noChangeAspect="1"/>
                  </pic:cNvPicPr>
                </pic:nvPicPr>
                <pic:blipFill>
                  <a:blip r:embed="rId1">
                    <a:extLst/>
                  </a:blip>
                  <a:stretch>
                    <a:fillRect/>
                  </a:stretch>
                </pic:blipFill>
                <pic:spPr>
                  <a:xfrm>
                    <a:off x="0" y="0"/>
                    <a:ext cx="7554243" cy="1800225"/>
                  </a:xfrm>
                  <a:prstGeom prst="rect">
                    <a:avLst/>
                  </a:prstGeom>
                  <a:ln w="12700" cap="flat">
                    <a:noFill/>
                    <a:miter lim="400000"/>
                  </a:ln>
                  <a:effectLst/>
                </pic:spPr>
              </pic:pic>
            </a:graphicData>
          </a:graphic>
        </wp:anchor>
      </w:drawing>
    </w:r>
    <w:r>
      <w:drawing>
        <wp:anchor distT="152400" distB="152400" distL="152400" distR="152400" simplePos="0" relativeHeight="251659264" behindDoc="1" locked="0" layoutInCell="1" allowOverlap="1">
          <wp:simplePos x="0" y="0"/>
          <wp:positionH relativeFrom="page">
            <wp:posOffset>0</wp:posOffset>
          </wp:positionH>
          <wp:positionV relativeFrom="page">
            <wp:posOffset>9307194</wp:posOffset>
          </wp:positionV>
          <wp:extent cx="7555578" cy="1386205"/>
          <wp:effectExtent l="0" t="0" r="0" b="0"/>
          <wp:wrapNone/>
          <wp:docPr id="1073741826" name="officeArt object" descr="Priory_footer.psd"/>
          <wp:cNvGraphicFramePr/>
          <a:graphic xmlns:a="http://schemas.openxmlformats.org/drawingml/2006/main">
            <a:graphicData uri="http://schemas.openxmlformats.org/drawingml/2006/picture">
              <pic:pic xmlns:pic="http://schemas.openxmlformats.org/drawingml/2006/picture">
                <pic:nvPicPr>
                  <pic:cNvPr id="1073741826" name="Priory_footer.psd" descr="Priory_footer.psd"/>
                  <pic:cNvPicPr>
                    <a:picLocks noChangeAspect="1"/>
                  </pic:cNvPicPr>
                </pic:nvPicPr>
                <pic:blipFill>
                  <a:blip r:embed="rId2">
                    <a:extLst/>
                  </a:blip>
                  <a:stretch>
                    <a:fillRect/>
                  </a:stretch>
                </pic:blipFill>
                <pic:spPr>
                  <a:xfrm>
                    <a:off x="0" y="0"/>
                    <a:ext cx="7555578" cy="1386205"/>
                  </a:xfrm>
                  <a:prstGeom prst="rect">
                    <a:avLst/>
                  </a:prstGeom>
                  <a:ln w="12700" cap="flat">
                    <a:noFill/>
                    <a:miter lim="400000"/>
                  </a:ln>
                  <a:effectLst/>
                </pic:spPr>
              </pic:pic>
            </a:graphicData>
          </a:graphic>
        </wp:anchor>
      </w:drawing>
    </w: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