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6B494" w14:textId="77777777" w:rsidR="00A90BFA" w:rsidRDefault="00000000">
      <w:pPr>
        <w:rPr>
          <w:rFonts w:ascii="Calibri" w:eastAsia="Calibri" w:hAnsi="Calibri" w:cs="Calibri"/>
          <w:sz w:val="24"/>
          <w:szCs w:val="24"/>
        </w:rPr>
      </w:pPr>
      <w:bookmarkStart w:id="0" w:name="_heading=h.hvs8y6ff87ar" w:colFirst="0" w:colLast="0"/>
      <w:bookmarkEnd w:id="0"/>
      <w:r>
        <w:rPr>
          <w:rFonts w:ascii="Calibri" w:eastAsia="Calibri" w:hAnsi="Calibri" w:cs="Calibri"/>
          <w:noProof/>
          <w:sz w:val="24"/>
          <w:szCs w:val="24"/>
        </w:rPr>
        <w:drawing>
          <wp:inline distT="114300" distB="114300" distL="114300" distR="114300" wp14:anchorId="6E35E541" wp14:editId="24A8DC4F">
            <wp:extent cx="6645600" cy="1790700"/>
            <wp:effectExtent l="0" t="0" r="0" b="0"/>
            <wp:docPr id="5433160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645600" cy="1790700"/>
                    </a:xfrm>
                    <a:prstGeom prst="rect">
                      <a:avLst/>
                    </a:prstGeom>
                    <a:ln/>
                  </pic:spPr>
                </pic:pic>
              </a:graphicData>
            </a:graphic>
          </wp:inline>
        </w:drawing>
      </w:r>
    </w:p>
    <w:p w14:paraId="7D1A64B5" w14:textId="77777777" w:rsidR="00A90BFA" w:rsidRDefault="00A90BFA">
      <w:pPr>
        <w:rPr>
          <w:rFonts w:ascii="Calibri" w:eastAsia="Calibri" w:hAnsi="Calibri" w:cs="Calibri"/>
          <w:sz w:val="24"/>
          <w:szCs w:val="24"/>
        </w:rPr>
      </w:pPr>
    </w:p>
    <w:p w14:paraId="789676E0" w14:textId="77777777" w:rsidR="00A90BFA" w:rsidRDefault="00000000">
      <w:pPr>
        <w:rPr>
          <w:rFonts w:ascii="Calibri" w:eastAsia="Calibri" w:hAnsi="Calibri" w:cs="Calibri"/>
          <w:color w:val="12501A"/>
          <w:sz w:val="28"/>
          <w:szCs w:val="28"/>
        </w:rPr>
      </w:pPr>
      <w:r>
        <w:rPr>
          <w:rFonts w:ascii="Calibri" w:eastAsia="Calibri" w:hAnsi="Calibri" w:cs="Calibri"/>
          <w:color w:val="12501A"/>
          <w:sz w:val="28"/>
          <w:szCs w:val="28"/>
        </w:rPr>
        <w:t>Meet the Team:</w:t>
      </w:r>
    </w:p>
    <w:p w14:paraId="3F5B6AC8" w14:textId="77777777" w:rsidR="00A90BFA" w:rsidRDefault="00000000">
      <w:pPr>
        <w:rPr>
          <w:rFonts w:ascii="Calibri" w:eastAsia="Calibri" w:hAnsi="Calibri" w:cs="Calibri"/>
          <w:color w:val="12501A"/>
          <w:sz w:val="24"/>
          <w:szCs w:val="24"/>
        </w:rPr>
      </w:pPr>
      <w:r>
        <w:rPr>
          <w:rFonts w:ascii="Calibri" w:eastAsia="Calibri" w:hAnsi="Calibri" w:cs="Calibri"/>
          <w:color w:val="12501A"/>
          <w:sz w:val="24"/>
          <w:szCs w:val="24"/>
        </w:rPr>
        <w:t>SEND Team central email:  send@priorysouthsea.org</w:t>
      </w:r>
    </w:p>
    <w:p w14:paraId="311C5ACA" w14:textId="77777777" w:rsidR="00A90BFA" w:rsidRDefault="00000000">
      <w:pPr>
        <w:rPr>
          <w:rFonts w:ascii="Calibri" w:eastAsia="Calibri" w:hAnsi="Calibri" w:cs="Calibri"/>
          <w:sz w:val="24"/>
          <w:szCs w:val="24"/>
        </w:rPr>
      </w:pPr>
      <w:r>
        <w:rPr>
          <w:rFonts w:ascii="Calibri" w:eastAsia="Calibri" w:hAnsi="Calibri" w:cs="Calibri"/>
          <w:sz w:val="24"/>
          <w:szCs w:val="24"/>
        </w:rPr>
        <w:t>SENDCo:  Alison Busby</w:t>
      </w:r>
    </w:p>
    <w:p w14:paraId="27D3D2F2" w14:textId="77777777" w:rsidR="00A90BFA" w:rsidRDefault="00000000">
      <w:pPr>
        <w:rPr>
          <w:rFonts w:ascii="Calibri" w:eastAsia="Calibri" w:hAnsi="Calibri" w:cs="Calibri"/>
          <w:sz w:val="24"/>
          <w:szCs w:val="24"/>
        </w:rPr>
      </w:pPr>
      <w:r>
        <w:rPr>
          <w:rFonts w:ascii="Calibri" w:eastAsia="Calibri" w:hAnsi="Calibri" w:cs="Calibri"/>
          <w:sz w:val="24"/>
          <w:szCs w:val="24"/>
        </w:rPr>
        <w:tab/>
        <w:t xml:space="preserve">E: </w:t>
      </w:r>
      <w:hyperlink r:id="rId7">
        <w:r>
          <w:rPr>
            <w:rFonts w:ascii="Calibri" w:eastAsia="Calibri" w:hAnsi="Calibri" w:cs="Calibri"/>
            <w:color w:val="12501A"/>
            <w:sz w:val="24"/>
            <w:szCs w:val="24"/>
            <w:u w:val="single"/>
          </w:rPr>
          <w:t>abusby@priorysouthsea.org</w:t>
        </w:r>
      </w:hyperlink>
      <w:r>
        <w:rPr>
          <w:color w:val="12501A"/>
          <w:sz w:val="24"/>
          <w:szCs w:val="24"/>
        </w:rPr>
        <w:t xml:space="preserve"> </w:t>
      </w:r>
    </w:p>
    <w:p w14:paraId="04506669" w14:textId="77777777" w:rsidR="00A90BFA" w:rsidRDefault="00000000">
      <w:pPr>
        <w:tabs>
          <w:tab w:val="left" w:pos="720"/>
          <w:tab w:val="left" w:pos="1440"/>
          <w:tab w:val="left" w:pos="2160"/>
          <w:tab w:val="left" w:pos="8584"/>
        </w:tabs>
        <w:rPr>
          <w:rFonts w:ascii="Calibri" w:eastAsia="Calibri" w:hAnsi="Calibri" w:cs="Calibri"/>
          <w:sz w:val="24"/>
          <w:szCs w:val="24"/>
        </w:rPr>
      </w:pPr>
      <w:r>
        <w:rPr>
          <w:rFonts w:ascii="Calibri" w:eastAsia="Calibri" w:hAnsi="Calibri" w:cs="Calibri"/>
          <w:sz w:val="24"/>
          <w:szCs w:val="24"/>
        </w:rPr>
        <w:tab/>
        <w:t>T: 023 9281 9115</w:t>
      </w:r>
      <w:r>
        <w:rPr>
          <w:rFonts w:ascii="Calibri" w:eastAsia="Calibri" w:hAnsi="Calibri" w:cs="Calibri"/>
          <w:sz w:val="24"/>
          <w:szCs w:val="24"/>
        </w:rPr>
        <w:tab/>
      </w:r>
    </w:p>
    <w:p w14:paraId="1B756B1E" w14:textId="77777777" w:rsidR="00A90BFA" w:rsidRDefault="00000000">
      <w:pPr>
        <w:ind w:left="720"/>
        <w:rPr>
          <w:rFonts w:ascii="Calibri" w:eastAsia="Calibri" w:hAnsi="Calibri" w:cs="Calibri"/>
          <w:sz w:val="24"/>
          <w:szCs w:val="24"/>
        </w:rPr>
      </w:pPr>
      <w:r>
        <w:rPr>
          <w:rFonts w:ascii="Calibri" w:eastAsia="Calibri" w:hAnsi="Calibri" w:cs="Calibri"/>
          <w:sz w:val="24"/>
          <w:szCs w:val="24"/>
        </w:rPr>
        <w:t>Alison has been SENCo at Priory School since September 2017. She has worked in Portsmouth secondary schools for over 20 years, spending more than 10 years as SENCo at her previous school.</w:t>
      </w:r>
    </w:p>
    <w:p w14:paraId="029B0E62" w14:textId="77777777" w:rsidR="00A90BFA" w:rsidRDefault="00000000">
      <w:pPr>
        <w:rPr>
          <w:rFonts w:ascii="Calibri" w:eastAsia="Calibri" w:hAnsi="Calibri" w:cs="Calibri"/>
          <w:sz w:val="24"/>
          <w:szCs w:val="24"/>
        </w:rPr>
      </w:pPr>
      <w:r>
        <w:rPr>
          <w:rFonts w:ascii="Calibri" w:eastAsia="Calibri" w:hAnsi="Calibri" w:cs="Calibri"/>
          <w:sz w:val="24"/>
          <w:szCs w:val="24"/>
        </w:rPr>
        <w:t>Deputy SENDCo:  Karen Pascoe</w:t>
      </w:r>
    </w:p>
    <w:p w14:paraId="118366B9" w14:textId="77777777" w:rsidR="00A90BFA" w:rsidRDefault="00000000">
      <w:pPr>
        <w:rPr>
          <w:rFonts w:ascii="Calibri" w:eastAsia="Calibri" w:hAnsi="Calibri" w:cs="Calibri"/>
          <w:sz w:val="24"/>
          <w:szCs w:val="24"/>
        </w:rPr>
      </w:pPr>
      <w:r>
        <w:rPr>
          <w:rFonts w:ascii="Calibri" w:eastAsia="Calibri" w:hAnsi="Calibri" w:cs="Calibri"/>
          <w:sz w:val="24"/>
          <w:szCs w:val="24"/>
        </w:rPr>
        <w:tab/>
        <w:t>E</w:t>
      </w:r>
      <w:r>
        <w:rPr>
          <w:rFonts w:ascii="Calibri" w:eastAsia="Calibri" w:hAnsi="Calibri" w:cs="Calibri"/>
          <w:color w:val="12501A"/>
          <w:sz w:val="24"/>
          <w:szCs w:val="24"/>
        </w:rPr>
        <w:t xml:space="preserve">: </w:t>
      </w:r>
      <w:hyperlink r:id="rId8">
        <w:r>
          <w:rPr>
            <w:rFonts w:ascii="Calibri" w:eastAsia="Calibri" w:hAnsi="Calibri" w:cs="Calibri"/>
            <w:color w:val="12501A"/>
            <w:sz w:val="24"/>
            <w:szCs w:val="24"/>
            <w:u w:val="single"/>
          </w:rPr>
          <w:t>kpascoe</w:t>
        </w:r>
      </w:hyperlink>
      <w:hyperlink r:id="rId9">
        <w:r>
          <w:rPr>
            <w:rFonts w:ascii="Calibri" w:eastAsia="Calibri" w:hAnsi="Calibri" w:cs="Calibri"/>
            <w:color w:val="12501A"/>
            <w:sz w:val="24"/>
            <w:szCs w:val="24"/>
            <w:u w:val="single"/>
          </w:rPr>
          <w:t>@priorysouthsea.org</w:t>
        </w:r>
      </w:hyperlink>
      <w:r>
        <w:rPr>
          <w:color w:val="12501A"/>
        </w:rPr>
        <w:t xml:space="preserve"> </w:t>
      </w:r>
      <w:r>
        <w:rPr>
          <w:rFonts w:ascii="Calibri" w:eastAsia="Calibri" w:hAnsi="Calibri" w:cs="Calibri"/>
          <w:color w:val="12501A"/>
          <w:sz w:val="24"/>
          <w:szCs w:val="24"/>
        </w:rPr>
        <w:t xml:space="preserve"> </w:t>
      </w:r>
    </w:p>
    <w:p w14:paraId="7908859F" w14:textId="77777777" w:rsidR="00A90BFA" w:rsidRDefault="00000000">
      <w:pPr>
        <w:rPr>
          <w:rFonts w:ascii="Calibri" w:eastAsia="Calibri" w:hAnsi="Calibri" w:cs="Calibri"/>
          <w:color w:val="000000"/>
          <w:sz w:val="24"/>
          <w:szCs w:val="24"/>
        </w:rPr>
      </w:pPr>
      <w:r>
        <w:rPr>
          <w:rFonts w:ascii="Calibri" w:eastAsia="Calibri" w:hAnsi="Calibri" w:cs="Calibri"/>
          <w:color w:val="000000"/>
          <w:sz w:val="24"/>
          <w:szCs w:val="24"/>
        </w:rPr>
        <w:t xml:space="preserve">EAL </w:t>
      </w:r>
      <w:r>
        <w:rPr>
          <w:rFonts w:ascii="Calibri" w:eastAsia="Calibri" w:hAnsi="Calibri" w:cs="Calibri"/>
          <w:sz w:val="24"/>
          <w:szCs w:val="24"/>
        </w:rPr>
        <w:t>Specialist TA</w:t>
      </w:r>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Najmunnahar</w:t>
      </w:r>
      <w:proofErr w:type="spellEnd"/>
      <w:r>
        <w:rPr>
          <w:rFonts w:ascii="Calibri" w:eastAsia="Calibri" w:hAnsi="Calibri" w:cs="Calibri"/>
          <w:color w:val="000000"/>
          <w:sz w:val="24"/>
          <w:szCs w:val="24"/>
        </w:rPr>
        <w:t xml:space="preserve"> Choudhury </w:t>
      </w:r>
    </w:p>
    <w:p w14:paraId="56FB215E" w14:textId="77777777" w:rsidR="00A90BFA" w:rsidRDefault="00000000">
      <w:pPr>
        <w:rPr>
          <w:rFonts w:ascii="Calibri" w:eastAsia="Calibri" w:hAnsi="Calibri" w:cs="Calibri"/>
          <w:color w:val="12501A"/>
          <w:sz w:val="24"/>
          <w:szCs w:val="24"/>
        </w:rPr>
      </w:pPr>
      <w:r>
        <w:rPr>
          <w:rFonts w:ascii="Calibri" w:eastAsia="Calibri" w:hAnsi="Calibri" w:cs="Calibri"/>
          <w:color w:val="156082"/>
          <w:sz w:val="24"/>
          <w:szCs w:val="24"/>
        </w:rPr>
        <w:tab/>
      </w:r>
      <w:r>
        <w:rPr>
          <w:rFonts w:ascii="Calibri" w:eastAsia="Calibri" w:hAnsi="Calibri" w:cs="Calibri"/>
          <w:color w:val="000000"/>
          <w:sz w:val="24"/>
          <w:szCs w:val="24"/>
        </w:rPr>
        <w:t xml:space="preserve">E: </w:t>
      </w:r>
      <w:hyperlink r:id="rId10">
        <w:r>
          <w:rPr>
            <w:rFonts w:ascii="Calibri" w:eastAsia="Calibri" w:hAnsi="Calibri" w:cs="Calibri"/>
            <w:color w:val="12501A"/>
            <w:sz w:val="24"/>
            <w:szCs w:val="24"/>
            <w:u w:val="single"/>
          </w:rPr>
          <w:t>nchoudhury@priorysouthsea.org</w:t>
        </w:r>
      </w:hyperlink>
      <w:r>
        <w:rPr>
          <w:rFonts w:ascii="Calibri" w:eastAsia="Calibri" w:hAnsi="Calibri" w:cs="Calibri"/>
          <w:color w:val="12501A"/>
          <w:sz w:val="24"/>
          <w:szCs w:val="24"/>
        </w:rPr>
        <w:t xml:space="preserve">  </w:t>
      </w:r>
    </w:p>
    <w:p w14:paraId="7B3BEFAE" w14:textId="77777777" w:rsidR="00A90BFA" w:rsidRDefault="00000000">
      <w:pPr>
        <w:rPr>
          <w:rFonts w:ascii="Calibri" w:eastAsia="Calibri" w:hAnsi="Calibri" w:cs="Calibri"/>
          <w:sz w:val="24"/>
          <w:szCs w:val="24"/>
        </w:rPr>
      </w:pPr>
      <w:r>
        <w:rPr>
          <w:rFonts w:ascii="Calibri" w:eastAsia="Calibri" w:hAnsi="Calibri" w:cs="Calibri"/>
          <w:sz w:val="24"/>
          <w:szCs w:val="24"/>
        </w:rPr>
        <w:t>SEND Governor:  TBC</w:t>
      </w:r>
    </w:p>
    <w:p w14:paraId="4566F2ED" w14:textId="77777777" w:rsidR="00A90BFA" w:rsidRDefault="00000000">
      <w:pPr>
        <w:rPr>
          <w:rFonts w:ascii="Calibri" w:eastAsia="Calibri" w:hAnsi="Calibri" w:cs="Calibri"/>
          <w:color w:val="38761D"/>
          <w:sz w:val="24"/>
          <w:szCs w:val="24"/>
        </w:rPr>
      </w:pPr>
      <w:r>
        <w:rPr>
          <w:rFonts w:ascii="Calibri" w:eastAsia="Calibri" w:hAnsi="Calibri" w:cs="Calibri"/>
          <w:sz w:val="24"/>
          <w:szCs w:val="24"/>
        </w:rPr>
        <w:tab/>
        <w:t>E: TBC</w:t>
      </w:r>
    </w:p>
    <w:p w14:paraId="19824CBC" w14:textId="77777777" w:rsidR="00A90BFA" w:rsidRDefault="00000000">
      <w:pPr>
        <w:rPr>
          <w:rFonts w:ascii="Calibri" w:eastAsia="Calibri" w:hAnsi="Calibri" w:cs="Calibri"/>
          <w:sz w:val="24"/>
          <w:szCs w:val="24"/>
        </w:rPr>
      </w:pPr>
      <w:r>
        <w:rPr>
          <w:rFonts w:ascii="Calibri" w:eastAsia="Calibri" w:hAnsi="Calibri" w:cs="Calibri"/>
          <w:sz w:val="24"/>
          <w:szCs w:val="24"/>
        </w:rPr>
        <w:t>Trust Director for SEND:  Pam Doyle</w:t>
      </w:r>
    </w:p>
    <w:p w14:paraId="36C68B95" w14:textId="77777777" w:rsidR="00A90BFA" w:rsidRDefault="00000000">
      <w:pPr>
        <w:rPr>
          <w:rFonts w:ascii="Calibri" w:eastAsia="Calibri" w:hAnsi="Calibri" w:cs="Calibri"/>
          <w:sz w:val="24"/>
          <w:szCs w:val="24"/>
        </w:rPr>
      </w:pPr>
      <w:r>
        <w:rPr>
          <w:rFonts w:ascii="Calibri" w:eastAsia="Calibri" w:hAnsi="Calibri" w:cs="Calibri"/>
          <w:sz w:val="24"/>
          <w:szCs w:val="24"/>
        </w:rPr>
        <w:tab/>
        <w:t xml:space="preserve">E: </w:t>
      </w:r>
      <w:hyperlink r:id="rId11">
        <w:r>
          <w:rPr>
            <w:rFonts w:ascii="Calibri" w:eastAsia="Calibri" w:hAnsi="Calibri" w:cs="Calibri"/>
            <w:color w:val="12501A"/>
            <w:sz w:val="24"/>
            <w:szCs w:val="24"/>
            <w:u w:val="single"/>
          </w:rPr>
          <w:t>pdoyle@bohunt.hants.sch.uk</w:t>
        </w:r>
      </w:hyperlink>
      <w:r>
        <w:rPr>
          <w:rFonts w:ascii="Calibri" w:eastAsia="Calibri" w:hAnsi="Calibri" w:cs="Calibri"/>
          <w:color w:val="12501A"/>
          <w:sz w:val="24"/>
          <w:szCs w:val="24"/>
        </w:rPr>
        <w:t xml:space="preserve"> </w:t>
      </w:r>
    </w:p>
    <w:p w14:paraId="79E5B150" w14:textId="77777777" w:rsidR="00A90BFA" w:rsidRDefault="00A90BFA">
      <w:pPr>
        <w:rPr>
          <w:rFonts w:ascii="Calibri" w:eastAsia="Calibri" w:hAnsi="Calibri" w:cs="Calibri"/>
          <w:sz w:val="24"/>
          <w:szCs w:val="24"/>
          <w:u w:val="single"/>
        </w:rPr>
      </w:pPr>
    </w:p>
    <w:p w14:paraId="7BD03043" w14:textId="77777777" w:rsidR="00A90BFA" w:rsidRDefault="00000000">
      <w:pPr>
        <w:rPr>
          <w:rFonts w:ascii="Calibri" w:eastAsia="Calibri" w:hAnsi="Calibri" w:cs="Calibri"/>
          <w:sz w:val="24"/>
          <w:szCs w:val="24"/>
          <w:u w:val="single"/>
        </w:rPr>
      </w:pPr>
      <w:r>
        <w:rPr>
          <w:rFonts w:ascii="Calibri" w:eastAsia="Calibri" w:hAnsi="Calibri" w:cs="Calibri"/>
          <w:sz w:val="24"/>
          <w:szCs w:val="24"/>
          <w:u w:val="single"/>
        </w:rPr>
        <w:t>Links to Local information:</w:t>
      </w:r>
    </w:p>
    <w:p w14:paraId="7CD8713F" w14:textId="77777777" w:rsidR="00A90BFA" w:rsidRDefault="00000000">
      <w:pPr>
        <w:ind w:left="720"/>
        <w:rPr>
          <w:rFonts w:ascii="Calibri" w:eastAsia="Calibri" w:hAnsi="Calibri" w:cs="Calibri"/>
          <w:color w:val="12501A"/>
          <w:sz w:val="24"/>
          <w:szCs w:val="24"/>
        </w:rPr>
      </w:pPr>
      <w:r>
        <w:rPr>
          <w:rFonts w:ascii="Calibri" w:eastAsia="Calibri" w:hAnsi="Calibri" w:cs="Calibri"/>
          <w:sz w:val="24"/>
          <w:szCs w:val="24"/>
        </w:rPr>
        <w:t xml:space="preserve">Portsmouth Local Offer:  </w:t>
      </w:r>
      <w:hyperlink r:id="rId12">
        <w:r>
          <w:rPr>
            <w:rFonts w:ascii="Calibri" w:eastAsia="Calibri" w:hAnsi="Calibri" w:cs="Calibri"/>
            <w:color w:val="12501A"/>
            <w:sz w:val="24"/>
            <w:szCs w:val="24"/>
            <w:u w:val="single"/>
          </w:rPr>
          <w:t>Home &lt; Portsmouth Local Offer</w:t>
        </w:r>
      </w:hyperlink>
    </w:p>
    <w:p w14:paraId="167D8848" w14:textId="77777777" w:rsidR="00A90BFA" w:rsidRDefault="00000000">
      <w:pPr>
        <w:rPr>
          <w:rFonts w:ascii="Calibri" w:eastAsia="Calibri" w:hAnsi="Calibri" w:cs="Calibri"/>
          <w:sz w:val="24"/>
          <w:szCs w:val="24"/>
        </w:rPr>
      </w:pPr>
      <w:r>
        <w:rPr>
          <w:rFonts w:ascii="Calibri" w:eastAsia="Calibri" w:hAnsi="Calibri" w:cs="Calibri"/>
          <w:sz w:val="24"/>
          <w:szCs w:val="24"/>
        </w:rPr>
        <w:tab/>
        <w:t xml:space="preserve">The SEND Code of Practice: 0-25:  </w:t>
      </w:r>
      <w:hyperlink r:id="rId13">
        <w:r>
          <w:rPr>
            <w:rFonts w:ascii="Calibri" w:eastAsia="Calibri" w:hAnsi="Calibri" w:cs="Calibri"/>
            <w:color w:val="12501A"/>
            <w:sz w:val="24"/>
            <w:szCs w:val="24"/>
            <w:u w:val="single"/>
          </w:rPr>
          <w:t>SEND code of practice: 0 to 25 years - GOV.UK</w:t>
        </w:r>
      </w:hyperlink>
    </w:p>
    <w:p w14:paraId="68E1F883" w14:textId="77777777" w:rsidR="00A90BFA" w:rsidRDefault="00000000">
      <w:pPr>
        <w:ind w:left="720"/>
        <w:rPr>
          <w:rFonts w:ascii="Calibri" w:eastAsia="Calibri" w:hAnsi="Calibri" w:cs="Calibri"/>
          <w:sz w:val="32"/>
          <w:szCs w:val="32"/>
        </w:rPr>
      </w:pPr>
      <w:r>
        <w:rPr>
          <w:rFonts w:ascii="Calibri" w:eastAsia="Calibri" w:hAnsi="Calibri" w:cs="Calibri"/>
          <w:sz w:val="24"/>
          <w:szCs w:val="24"/>
        </w:rPr>
        <w:t xml:space="preserve">Priory School SEND Policy:  </w:t>
      </w:r>
      <w:hyperlink r:id="rId14">
        <w:r>
          <w:rPr>
            <w:rFonts w:ascii="Calibri" w:eastAsia="Calibri" w:hAnsi="Calibri" w:cs="Calibri"/>
            <w:color w:val="12501A"/>
            <w:sz w:val="24"/>
            <w:szCs w:val="24"/>
            <w:u w:val="single"/>
          </w:rPr>
          <w:t>priorysouthsea.org/wp-content/uploads/2025/03/BET-SEND-Policy-Spring-Term-2025.pdf</w:t>
        </w:r>
      </w:hyperlink>
    </w:p>
    <w:p w14:paraId="4007A8EF" w14:textId="77777777" w:rsidR="00A90BFA" w:rsidRDefault="00000000">
      <w:pPr>
        <w:ind w:left="720"/>
        <w:rPr>
          <w:rFonts w:ascii="Calibri" w:eastAsia="Calibri" w:hAnsi="Calibri" w:cs="Calibri"/>
          <w:sz w:val="24"/>
          <w:szCs w:val="24"/>
        </w:rPr>
      </w:pPr>
      <w:r>
        <w:rPr>
          <w:rFonts w:ascii="Calibri" w:eastAsia="Calibri" w:hAnsi="Calibri" w:cs="Calibri"/>
          <w:sz w:val="24"/>
          <w:szCs w:val="24"/>
        </w:rPr>
        <w:t xml:space="preserve">Priory School Accessibility Plan: </w:t>
      </w:r>
      <w:r>
        <w:rPr>
          <w:rFonts w:ascii="Calibri" w:eastAsia="Calibri" w:hAnsi="Calibri" w:cs="Calibri"/>
          <w:color w:val="12501A"/>
          <w:sz w:val="24"/>
          <w:szCs w:val="24"/>
        </w:rPr>
        <w:t xml:space="preserve"> </w:t>
      </w:r>
      <w:hyperlink r:id="rId15">
        <w:r>
          <w:rPr>
            <w:rFonts w:ascii="Calibri" w:eastAsia="Calibri" w:hAnsi="Calibri" w:cs="Calibri"/>
            <w:color w:val="12501A"/>
            <w:sz w:val="24"/>
            <w:szCs w:val="24"/>
            <w:u w:val="single"/>
          </w:rPr>
          <w:t>Priory Accessibility Policy &amp; Plan Spring Term 2025.docx</w:t>
        </w:r>
      </w:hyperlink>
    </w:p>
    <w:p w14:paraId="00E8AF85" w14:textId="77777777" w:rsidR="00A90BFA" w:rsidRDefault="00000000">
      <w:pPr>
        <w:ind w:left="720"/>
        <w:rPr>
          <w:rFonts w:ascii="Calibri" w:eastAsia="Calibri" w:hAnsi="Calibri" w:cs="Calibri"/>
          <w:sz w:val="24"/>
          <w:szCs w:val="24"/>
        </w:rPr>
      </w:pPr>
      <w:r>
        <w:rPr>
          <w:rFonts w:ascii="Calibri" w:eastAsia="Calibri" w:hAnsi="Calibri" w:cs="Calibri"/>
          <w:sz w:val="24"/>
          <w:szCs w:val="24"/>
        </w:rPr>
        <w:t xml:space="preserve">Priory School Policy on Supporting Students with Medical Conditions: </w:t>
      </w:r>
      <w:hyperlink r:id="rId16">
        <w:r>
          <w:rPr>
            <w:rFonts w:ascii="Calibri" w:eastAsia="Calibri" w:hAnsi="Calibri" w:cs="Calibri"/>
            <w:color w:val="12501A"/>
            <w:sz w:val="24"/>
            <w:szCs w:val="24"/>
            <w:u w:val="single"/>
          </w:rPr>
          <w:t xml:space="preserve"> BET Supporting Children with Medical Conditions Spring Term 2025</w:t>
        </w:r>
      </w:hyperlink>
    </w:p>
    <w:p w14:paraId="79A23ADC" w14:textId="77777777" w:rsidR="00A90BFA" w:rsidRDefault="00A90BFA">
      <w:pPr>
        <w:rPr>
          <w:rFonts w:ascii="Calibri" w:eastAsia="Calibri" w:hAnsi="Calibri" w:cs="Calibri"/>
          <w:sz w:val="24"/>
          <w:szCs w:val="24"/>
          <w:u w:val="single"/>
        </w:rPr>
      </w:pPr>
    </w:p>
    <w:p w14:paraId="5FB8F6F1" w14:textId="77777777" w:rsidR="00A90BFA" w:rsidRDefault="00A90BFA">
      <w:pPr>
        <w:rPr>
          <w:rFonts w:ascii="Calibri" w:eastAsia="Calibri" w:hAnsi="Calibri" w:cs="Calibri"/>
          <w:sz w:val="24"/>
          <w:szCs w:val="24"/>
          <w:u w:val="single"/>
        </w:rPr>
      </w:pPr>
    </w:p>
    <w:p w14:paraId="55E66C04" w14:textId="77777777" w:rsidR="00A90BFA" w:rsidRDefault="00A90BFA">
      <w:pPr>
        <w:rPr>
          <w:rFonts w:ascii="Calibri" w:eastAsia="Calibri" w:hAnsi="Calibri" w:cs="Calibri"/>
          <w:sz w:val="24"/>
          <w:szCs w:val="24"/>
          <w:u w:val="single"/>
        </w:rPr>
      </w:pPr>
    </w:p>
    <w:p w14:paraId="03CAC7F3" w14:textId="77777777" w:rsidR="00A90BFA" w:rsidRDefault="00A90BFA">
      <w:pPr>
        <w:rPr>
          <w:rFonts w:ascii="Calibri" w:eastAsia="Calibri" w:hAnsi="Calibri" w:cs="Calibri"/>
          <w:sz w:val="24"/>
          <w:szCs w:val="24"/>
          <w:u w:val="single"/>
        </w:rPr>
      </w:pPr>
    </w:p>
    <w:p w14:paraId="1565575F" w14:textId="77777777" w:rsidR="00A90BFA" w:rsidRDefault="00000000">
      <w:pPr>
        <w:rPr>
          <w:rFonts w:ascii="Calibri" w:eastAsia="Calibri" w:hAnsi="Calibri" w:cs="Calibri"/>
          <w:color w:val="12501A"/>
          <w:sz w:val="28"/>
          <w:szCs w:val="28"/>
        </w:rPr>
      </w:pPr>
      <w:r>
        <w:rPr>
          <w:rFonts w:ascii="Calibri" w:eastAsia="Calibri" w:hAnsi="Calibri" w:cs="Calibri"/>
          <w:color w:val="12501A"/>
          <w:sz w:val="28"/>
          <w:szCs w:val="28"/>
        </w:rPr>
        <w:lastRenderedPageBreak/>
        <w:t>SEND at Priory School:</w:t>
      </w:r>
    </w:p>
    <w:p w14:paraId="6BD5A3C9" w14:textId="77777777" w:rsidR="00A90BFA" w:rsidRDefault="00000000">
      <w:pPr>
        <w:ind w:left="720"/>
        <w:rPr>
          <w:rFonts w:ascii="Calibri" w:eastAsia="Calibri" w:hAnsi="Calibri" w:cs="Calibri"/>
          <w:sz w:val="24"/>
          <w:szCs w:val="24"/>
        </w:rPr>
      </w:pPr>
      <w:r>
        <w:rPr>
          <w:rFonts w:ascii="Calibri" w:eastAsia="Calibri" w:hAnsi="Calibri" w:cs="Calibri"/>
          <w:sz w:val="24"/>
          <w:szCs w:val="24"/>
        </w:rPr>
        <w:t>Priory School is a mainstream secondary school in the coastal city of Portsmouth.  Across years 7 - 11, we have approximately 1280 students on roll in years 7-11.</w:t>
      </w:r>
    </w:p>
    <w:p w14:paraId="7DF952C6" w14:textId="77777777" w:rsidR="00A90BFA" w:rsidRDefault="00000000">
      <w:pPr>
        <w:ind w:left="720"/>
        <w:rPr>
          <w:rFonts w:ascii="Calibri" w:eastAsia="Calibri" w:hAnsi="Calibri" w:cs="Calibri"/>
          <w:sz w:val="24"/>
          <w:szCs w:val="24"/>
        </w:rPr>
      </w:pPr>
      <w:r>
        <w:rPr>
          <w:rFonts w:ascii="Calibri" w:eastAsia="Calibri" w:hAnsi="Calibri" w:cs="Calibri"/>
          <w:sz w:val="24"/>
          <w:szCs w:val="24"/>
        </w:rPr>
        <w:t>School Profile:</w:t>
      </w:r>
    </w:p>
    <w:p w14:paraId="60E96067" w14:textId="77777777" w:rsidR="00A90BFA" w:rsidRDefault="00000000">
      <w:pPr>
        <w:spacing w:after="0" w:line="240" w:lineRule="auto"/>
        <w:ind w:left="720"/>
        <w:rPr>
          <w:rFonts w:ascii="Calibri" w:eastAsia="Calibri" w:hAnsi="Calibri" w:cs="Calibri"/>
          <w:sz w:val="24"/>
          <w:szCs w:val="24"/>
        </w:rPr>
      </w:pPr>
      <w:r>
        <w:rPr>
          <w:rFonts w:ascii="Calibri" w:eastAsia="Calibri" w:hAnsi="Calibri" w:cs="Calibri"/>
          <w:sz w:val="24"/>
          <w:szCs w:val="24"/>
        </w:rPr>
        <w:t>17.5% of students on register</w:t>
      </w:r>
    </w:p>
    <w:p w14:paraId="74242D9A" w14:textId="77777777" w:rsidR="00A90BFA" w:rsidRDefault="00000000">
      <w:pPr>
        <w:numPr>
          <w:ilvl w:val="0"/>
          <w:numId w:val="1"/>
        </w:numPr>
        <w:spacing w:after="0" w:line="240" w:lineRule="auto"/>
        <w:rPr>
          <w:rFonts w:ascii="Calibri" w:eastAsia="Calibri" w:hAnsi="Calibri" w:cs="Calibri"/>
          <w:sz w:val="24"/>
          <w:szCs w:val="24"/>
        </w:rPr>
      </w:pPr>
      <w:r>
        <w:rPr>
          <w:rFonts w:ascii="Calibri" w:eastAsia="Calibri" w:hAnsi="Calibri" w:cs="Calibri"/>
          <w:sz w:val="24"/>
          <w:szCs w:val="24"/>
        </w:rPr>
        <w:t>22% Cognition and Learning</w:t>
      </w:r>
    </w:p>
    <w:p w14:paraId="2AF65326" w14:textId="77777777" w:rsidR="00A90BFA" w:rsidRDefault="00000000">
      <w:pPr>
        <w:numPr>
          <w:ilvl w:val="0"/>
          <w:numId w:val="1"/>
        </w:numPr>
        <w:spacing w:after="0" w:line="240" w:lineRule="auto"/>
        <w:rPr>
          <w:rFonts w:ascii="Calibri" w:eastAsia="Calibri" w:hAnsi="Calibri" w:cs="Calibri"/>
          <w:sz w:val="24"/>
          <w:szCs w:val="24"/>
        </w:rPr>
      </w:pPr>
      <w:r>
        <w:rPr>
          <w:rFonts w:ascii="Calibri" w:eastAsia="Calibri" w:hAnsi="Calibri" w:cs="Calibri"/>
          <w:sz w:val="24"/>
          <w:szCs w:val="24"/>
        </w:rPr>
        <w:t>29% Communication and Interaction</w:t>
      </w:r>
    </w:p>
    <w:p w14:paraId="46E0A95A" w14:textId="77777777" w:rsidR="00A90BFA" w:rsidRDefault="00000000">
      <w:pPr>
        <w:numPr>
          <w:ilvl w:val="0"/>
          <w:numId w:val="1"/>
        </w:numPr>
        <w:spacing w:after="0" w:line="240" w:lineRule="auto"/>
        <w:rPr>
          <w:rFonts w:ascii="Calibri" w:eastAsia="Calibri" w:hAnsi="Calibri" w:cs="Calibri"/>
          <w:sz w:val="24"/>
          <w:szCs w:val="24"/>
        </w:rPr>
      </w:pPr>
      <w:r>
        <w:rPr>
          <w:rFonts w:ascii="Calibri" w:eastAsia="Calibri" w:hAnsi="Calibri" w:cs="Calibri"/>
          <w:sz w:val="24"/>
          <w:szCs w:val="24"/>
        </w:rPr>
        <w:t>5% Physical and Sensory</w:t>
      </w:r>
    </w:p>
    <w:p w14:paraId="33CDC5A7" w14:textId="77777777" w:rsidR="00A90BFA" w:rsidRDefault="00000000">
      <w:pPr>
        <w:numPr>
          <w:ilvl w:val="0"/>
          <w:numId w:val="1"/>
        </w:numPr>
        <w:spacing w:after="0" w:line="240" w:lineRule="auto"/>
        <w:rPr>
          <w:rFonts w:ascii="Calibri" w:eastAsia="Calibri" w:hAnsi="Calibri" w:cs="Calibri"/>
          <w:sz w:val="24"/>
          <w:szCs w:val="24"/>
        </w:rPr>
      </w:pPr>
      <w:r>
        <w:rPr>
          <w:rFonts w:ascii="Calibri" w:eastAsia="Calibri" w:hAnsi="Calibri" w:cs="Calibri"/>
          <w:sz w:val="24"/>
          <w:szCs w:val="24"/>
        </w:rPr>
        <w:t>44% Social, Emotional and Mental Health</w:t>
      </w:r>
    </w:p>
    <w:p w14:paraId="782456FB" w14:textId="77777777" w:rsidR="00A90BFA" w:rsidRDefault="00000000">
      <w:pPr>
        <w:spacing w:after="0" w:line="240" w:lineRule="auto"/>
        <w:ind w:left="720"/>
        <w:rPr>
          <w:rFonts w:ascii="Calibri" w:eastAsia="Calibri" w:hAnsi="Calibri" w:cs="Calibri"/>
          <w:sz w:val="24"/>
          <w:szCs w:val="24"/>
        </w:rPr>
      </w:pPr>
      <w:r>
        <w:rPr>
          <w:rFonts w:ascii="Calibri" w:eastAsia="Calibri" w:hAnsi="Calibri" w:cs="Calibri"/>
          <w:sz w:val="24"/>
          <w:szCs w:val="24"/>
        </w:rPr>
        <w:t>13.7 % of students with K</w:t>
      </w:r>
    </w:p>
    <w:p w14:paraId="2529C7AF" w14:textId="77777777" w:rsidR="00A90BFA" w:rsidRDefault="00000000">
      <w:pPr>
        <w:spacing w:after="0" w:line="240" w:lineRule="auto"/>
        <w:ind w:left="720"/>
        <w:rPr>
          <w:rFonts w:ascii="Calibri" w:eastAsia="Calibri" w:hAnsi="Calibri" w:cs="Calibri"/>
          <w:sz w:val="24"/>
          <w:szCs w:val="24"/>
        </w:rPr>
      </w:pPr>
      <w:r>
        <w:rPr>
          <w:rFonts w:ascii="Calibri" w:eastAsia="Calibri" w:hAnsi="Calibri" w:cs="Calibri"/>
          <w:sz w:val="24"/>
          <w:szCs w:val="24"/>
        </w:rPr>
        <w:t>3.8 % of students with E</w:t>
      </w:r>
    </w:p>
    <w:p w14:paraId="4EDE38A6" w14:textId="77777777" w:rsidR="00A90BFA" w:rsidRDefault="00A90BFA">
      <w:pPr>
        <w:spacing w:after="0" w:line="240" w:lineRule="auto"/>
        <w:ind w:firstLine="720"/>
        <w:rPr>
          <w:rFonts w:ascii="Calibri" w:eastAsia="Calibri" w:hAnsi="Calibri" w:cs="Calibri"/>
          <w:sz w:val="24"/>
          <w:szCs w:val="24"/>
        </w:rPr>
      </w:pPr>
    </w:p>
    <w:p w14:paraId="3E301B5C" w14:textId="77777777" w:rsidR="00A90BFA" w:rsidRDefault="00A90BFA">
      <w:pPr>
        <w:spacing w:after="0" w:line="240" w:lineRule="auto"/>
        <w:ind w:left="720"/>
        <w:rPr>
          <w:rFonts w:ascii="Calibri" w:eastAsia="Calibri" w:hAnsi="Calibri" w:cs="Calibri"/>
          <w:sz w:val="24"/>
          <w:szCs w:val="24"/>
        </w:rPr>
      </w:pPr>
    </w:p>
    <w:p w14:paraId="56967735" w14:textId="77777777" w:rsidR="00A90BFA" w:rsidRDefault="00A90BFA">
      <w:pPr>
        <w:rPr>
          <w:rFonts w:ascii="Calibri" w:eastAsia="Calibri" w:hAnsi="Calibri" w:cs="Calibri"/>
          <w:sz w:val="24"/>
          <w:szCs w:val="24"/>
        </w:rPr>
      </w:pPr>
    </w:p>
    <w:p w14:paraId="6567FD79" w14:textId="77777777" w:rsidR="00A90BFA" w:rsidRDefault="00000000">
      <w:pPr>
        <w:rPr>
          <w:rFonts w:ascii="Calibri" w:eastAsia="Calibri" w:hAnsi="Calibri" w:cs="Calibri"/>
          <w:color w:val="12501A"/>
          <w:sz w:val="28"/>
          <w:szCs w:val="28"/>
        </w:rPr>
      </w:pPr>
      <w:r>
        <w:rPr>
          <w:rFonts w:ascii="Calibri" w:eastAsia="Calibri" w:hAnsi="Calibri" w:cs="Calibri"/>
          <w:color w:val="12501A"/>
          <w:sz w:val="28"/>
          <w:szCs w:val="28"/>
        </w:rPr>
        <w:t>How we support students across different areas of need:</w:t>
      </w:r>
    </w:p>
    <w:p w14:paraId="61740743" w14:textId="77777777" w:rsidR="00A90BFA" w:rsidRDefault="00000000">
      <w:pPr>
        <w:pStyle w:val="Heading1"/>
        <w:rPr>
          <w:rFonts w:ascii="Calibri" w:eastAsia="Calibri" w:hAnsi="Calibri" w:cs="Calibri"/>
          <w:color w:val="12501A"/>
          <w:sz w:val="24"/>
          <w:szCs w:val="24"/>
        </w:rPr>
      </w:pPr>
      <w:r>
        <w:rPr>
          <w:rFonts w:ascii="Calibri" w:eastAsia="Calibri" w:hAnsi="Calibri" w:cs="Calibri"/>
          <w:color w:val="12501A"/>
          <w:sz w:val="24"/>
          <w:szCs w:val="24"/>
        </w:rPr>
        <w:t>Communication and Interaction:</w:t>
      </w:r>
    </w:p>
    <w:p w14:paraId="3B477C4B" w14:textId="77777777" w:rsidR="00A90BFA" w:rsidRDefault="00000000">
      <w:pPr>
        <w:pBdr>
          <w:top w:val="nil"/>
          <w:left w:val="nil"/>
          <w:bottom w:val="nil"/>
          <w:right w:val="nil"/>
          <w:between w:val="nil"/>
        </w:pBdr>
        <w:spacing w:after="0"/>
        <w:rPr>
          <w:rFonts w:ascii="Calibri" w:eastAsia="Calibri" w:hAnsi="Calibri" w:cs="Calibri"/>
          <w:color w:val="000000"/>
          <w:sz w:val="24"/>
          <w:szCs w:val="24"/>
        </w:rPr>
      </w:pPr>
      <w:r>
        <w:rPr>
          <w:rFonts w:ascii="Calibri" w:eastAsia="Calibri" w:hAnsi="Calibri" w:cs="Calibri"/>
          <w:color w:val="000000"/>
          <w:sz w:val="24"/>
          <w:szCs w:val="24"/>
        </w:rPr>
        <w:t>Children and young people with Speech Language and Communication Needs (SLCN) may have difficulties communicating with peers and adults, as well as interacting with the world around them.</w:t>
      </w:r>
    </w:p>
    <w:p w14:paraId="407812C0" w14:textId="77777777" w:rsidR="00A90BFA" w:rsidRDefault="00000000">
      <w:pPr>
        <w:pBdr>
          <w:top w:val="nil"/>
          <w:left w:val="nil"/>
          <w:bottom w:val="nil"/>
          <w:right w:val="nil"/>
          <w:between w:val="nil"/>
        </w:pBdr>
        <w:spacing w:after="0"/>
        <w:rPr>
          <w:rFonts w:ascii="Calibri" w:eastAsia="Calibri" w:hAnsi="Calibri" w:cs="Calibri"/>
          <w:color w:val="000000"/>
          <w:sz w:val="24"/>
          <w:szCs w:val="24"/>
        </w:rPr>
      </w:pPr>
      <w:r>
        <w:rPr>
          <w:rFonts w:ascii="Calibri" w:eastAsia="Calibri" w:hAnsi="Calibri" w:cs="Calibri"/>
          <w:sz w:val="24"/>
          <w:szCs w:val="24"/>
        </w:rPr>
        <w:t>T</w:t>
      </w:r>
      <w:r>
        <w:rPr>
          <w:rFonts w:ascii="Calibri" w:eastAsia="Calibri" w:hAnsi="Calibri" w:cs="Calibri"/>
          <w:color w:val="000000"/>
          <w:sz w:val="24"/>
          <w:szCs w:val="24"/>
        </w:rPr>
        <w:t>hey may require additional support from colleagues in the health sector, such as Speech and Language Therapists, or they may require in-school support in the form of Communication and Language (</w:t>
      </w:r>
      <w:proofErr w:type="spellStart"/>
      <w:r>
        <w:rPr>
          <w:rFonts w:ascii="Calibri" w:eastAsia="Calibri" w:hAnsi="Calibri" w:cs="Calibri"/>
          <w:color w:val="000000"/>
          <w:sz w:val="24"/>
          <w:szCs w:val="24"/>
        </w:rPr>
        <w:t>CaL</w:t>
      </w:r>
      <w:proofErr w:type="spellEnd"/>
      <w:r>
        <w:rPr>
          <w:rFonts w:ascii="Calibri" w:eastAsia="Calibri" w:hAnsi="Calibri" w:cs="Calibri"/>
          <w:color w:val="000000"/>
          <w:sz w:val="24"/>
          <w:szCs w:val="24"/>
        </w:rPr>
        <w:t>) intervention.</w:t>
      </w:r>
    </w:p>
    <w:p w14:paraId="597430DB" w14:textId="77777777" w:rsidR="00A90BFA"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Children and young people with difficulties relating to Autistic Spectrum Condition may require additional support for their language development, both academic and social, expressive and receptive. This may be addressed through direct and indirect intervention depending on how the individual responds to support.</w:t>
      </w:r>
    </w:p>
    <w:p w14:paraId="59832AFB" w14:textId="77777777" w:rsidR="00A90BFA" w:rsidRDefault="00000000">
      <w:pPr>
        <w:pStyle w:val="Heading1"/>
        <w:rPr>
          <w:rFonts w:ascii="Calibri" w:eastAsia="Calibri" w:hAnsi="Calibri" w:cs="Calibri"/>
          <w:color w:val="12501A"/>
          <w:sz w:val="24"/>
          <w:szCs w:val="24"/>
        </w:rPr>
      </w:pPr>
      <w:r>
        <w:rPr>
          <w:rFonts w:ascii="Calibri" w:eastAsia="Calibri" w:hAnsi="Calibri" w:cs="Calibri"/>
          <w:color w:val="12501A"/>
          <w:sz w:val="24"/>
          <w:szCs w:val="24"/>
        </w:rPr>
        <w:t>Cognition &amp; Learning:</w:t>
      </w:r>
    </w:p>
    <w:p w14:paraId="1814CED4" w14:textId="77777777" w:rsidR="00A90BFA" w:rsidRDefault="00000000">
      <w:pPr>
        <w:pBdr>
          <w:top w:val="nil"/>
          <w:left w:val="nil"/>
          <w:bottom w:val="nil"/>
          <w:right w:val="nil"/>
          <w:between w:val="nil"/>
        </w:pBdr>
        <w:spacing w:after="0"/>
        <w:rPr>
          <w:rFonts w:ascii="Calibri" w:eastAsia="Calibri" w:hAnsi="Calibri" w:cs="Calibri"/>
          <w:color w:val="000000"/>
          <w:sz w:val="24"/>
          <w:szCs w:val="24"/>
        </w:rPr>
      </w:pPr>
      <w:r>
        <w:rPr>
          <w:rFonts w:ascii="Calibri" w:eastAsia="Calibri" w:hAnsi="Calibri" w:cs="Calibri"/>
          <w:color w:val="000000"/>
          <w:sz w:val="24"/>
          <w:szCs w:val="24"/>
        </w:rPr>
        <w:t xml:space="preserve">Some children and young people can fall behind their peers for various reasons and will access ‘catch up’ and academic support through curriculum teams. </w:t>
      </w:r>
    </w:p>
    <w:p w14:paraId="714F6737" w14:textId="77777777" w:rsidR="00A90BFA" w:rsidRDefault="00000000">
      <w:pPr>
        <w:pBdr>
          <w:top w:val="nil"/>
          <w:left w:val="nil"/>
          <w:bottom w:val="nil"/>
          <w:right w:val="nil"/>
          <w:between w:val="nil"/>
        </w:pBdr>
        <w:spacing w:after="0"/>
        <w:rPr>
          <w:rFonts w:ascii="Calibri" w:eastAsia="Calibri" w:hAnsi="Calibri" w:cs="Calibri"/>
          <w:color w:val="000000"/>
          <w:sz w:val="24"/>
          <w:szCs w:val="24"/>
        </w:rPr>
      </w:pPr>
      <w:r>
        <w:rPr>
          <w:rFonts w:ascii="Calibri" w:eastAsia="Calibri" w:hAnsi="Calibri" w:cs="Calibri"/>
          <w:color w:val="000000"/>
          <w:sz w:val="24"/>
          <w:szCs w:val="24"/>
        </w:rPr>
        <w:t>For children and young people who have significant difficulties maintaining progress in line with their peers, additional intervention is put in place as well as in-class support.</w:t>
      </w:r>
    </w:p>
    <w:p w14:paraId="0E379EC5" w14:textId="77777777" w:rsidR="00A90BFA"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Children and young people may also be identified as having learning difficulties, such as dyslexia and/or dyscalculia, poor executive functioning, or poor memory retention and recall.</w:t>
      </w:r>
    </w:p>
    <w:p w14:paraId="06D2B3BA" w14:textId="77777777" w:rsidR="00A90BFA" w:rsidRDefault="00000000">
      <w:pPr>
        <w:pStyle w:val="Heading1"/>
        <w:rPr>
          <w:rFonts w:ascii="Calibri" w:eastAsia="Calibri" w:hAnsi="Calibri" w:cs="Calibri"/>
          <w:color w:val="12501A"/>
          <w:sz w:val="24"/>
          <w:szCs w:val="24"/>
        </w:rPr>
      </w:pPr>
      <w:r>
        <w:rPr>
          <w:rFonts w:ascii="Calibri" w:eastAsia="Calibri" w:hAnsi="Calibri" w:cs="Calibri"/>
          <w:color w:val="12501A"/>
          <w:sz w:val="24"/>
          <w:szCs w:val="24"/>
        </w:rPr>
        <w:t>Physical &amp; Sensory:</w:t>
      </w:r>
    </w:p>
    <w:p w14:paraId="5C4596F9" w14:textId="77777777" w:rsidR="00A90BFA" w:rsidRDefault="00000000">
      <w:pPr>
        <w:pBdr>
          <w:top w:val="nil"/>
          <w:left w:val="nil"/>
          <w:bottom w:val="nil"/>
          <w:right w:val="nil"/>
          <w:between w:val="nil"/>
        </w:pBdr>
        <w:spacing w:after="0"/>
        <w:rPr>
          <w:rFonts w:ascii="Calibri" w:eastAsia="Calibri" w:hAnsi="Calibri" w:cs="Calibri"/>
          <w:color w:val="000000"/>
          <w:sz w:val="24"/>
          <w:szCs w:val="24"/>
        </w:rPr>
      </w:pPr>
      <w:r>
        <w:rPr>
          <w:rFonts w:ascii="Calibri" w:eastAsia="Calibri" w:hAnsi="Calibri" w:cs="Calibri"/>
          <w:color w:val="000000"/>
          <w:sz w:val="24"/>
          <w:szCs w:val="24"/>
        </w:rPr>
        <w:t>Children and young people may have medical or learning difficulties relating to sensory loss or impairment, or physical disabilities.</w:t>
      </w:r>
    </w:p>
    <w:p w14:paraId="74BDB555" w14:textId="77777777" w:rsidR="00A90BFA" w:rsidRDefault="00000000">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They may require support from external agencies, such as Local Authority Advisors, Physical or Occupational Therapists, or other colleagues within the health sector.</w:t>
      </w:r>
    </w:p>
    <w:p w14:paraId="2CE266C8" w14:textId="77777777" w:rsidR="00A90BFA" w:rsidRDefault="00000000">
      <w:pPr>
        <w:pStyle w:val="Heading1"/>
        <w:rPr>
          <w:rFonts w:ascii="Calibri" w:eastAsia="Calibri" w:hAnsi="Calibri" w:cs="Calibri"/>
          <w:color w:val="12501A"/>
          <w:sz w:val="24"/>
          <w:szCs w:val="24"/>
        </w:rPr>
      </w:pPr>
      <w:r>
        <w:rPr>
          <w:rFonts w:ascii="Calibri" w:eastAsia="Calibri" w:hAnsi="Calibri" w:cs="Calibri"/>
          <w:color w:val="12501A"/>
          <w:sz w:val="24"/>
          <w:szCs w:val="24"/>
        </w:rPr>
        <w:t>Social, Emotional and Mental Health:</w:t>
      </w:r>
    </w:p>
    <w:p w14:paraId="048DC586" w14:textId="77777777" w:rsidR="00A90BFA" w:rsidRDefault="00000000">
      <w:pPr>
        <w:pBdr>
          <w:top w:val="nil"/>
          <w:left w:val="nil"/>
          <w:bottom w:val="nil"/>
          <w:right w:val="nil"/>
          <w:between w:val="nil"/>
        </w:pBdr>
        <w:spacing w:after="0"/>
        <w:rPr>
          <w:rFonts w:ascii="Calibri" w:eastAsia="Calibri" w:hAnsi="Calibri" w:cs="Calibri"/>
          <w:color w:val="000000"/>
          <w:sz w:val="24"/>
          <w:szCs w:val="24"/>
        </w:rPr>
      </w:pPr>
      <w:r>
        <w:rPr>
          <w:rFonts w:ascii="Calibri" w:eastAsia="Calibri" w:hAnsi="Calibri" w:cs="Calibri"/>
          <w:color w:val="000000"/>
          <w:sz w:val="24"/>
          <w:szCs w:val="24"/>
        </w:rPr>
        <w:t>An increasing number of children and young people struggle with different aspects of SEMH and it is vital to direct them through the best system to identify their barriers to learning and to support their development.</w:t>
      </w:r>
    </w:p>
    <w:p w14:paraId="4DDF685E" w14:textId="77777777" w:rsidR="00A90BFA" w:rsidRDefault="00000000">
      <w:pPr>
        <w:pBdr>
          <w:top w:val="nil"/>
          <w:left w:val="nil"/>
          <w:bottom w:val="nil"/>
          <w:right w:val="nil"/>
          <w:between w:val="nil"/>
        </w:pBdr>
        <w:spacing w:after="0"/>
        <w:rPr>
          <w:rFonts w:ascii="Calibri" w:eastAsia="Calibri" w:hAnsi="Calibri" w:cs="Calibri"/>
          <w:color w:val="000000"/>
          <w:sz w:val="24"/>
          <w:szCs w:val="24"/>
        </w:rPr>
      </w:pPr>
      <w:r>
        <w:rPr>
          <w:rFonts w:ascii="Calibri" w:eastAsia="Calibri" w:hAnsi="Calibri" w:cs="Calibri"/>
          <w:color w:val="000000"/>
          <w:sz w:val="24"/>
          <w:szCs w:val="24"/>
        </w:rPr>
        <w:t xml:space="preserve">Where significant difficulties have resulted in treatment by colleagues in the health sector, guidance will be sought as to how we work together in the best interests of the child or young person. This ensures a joint approach to the support and keeps the person at the centre of the plan.  It may also be necessary for the </w:t>
      </w:r>
      <w:r>
        <w:rPr>
          <w:rFonts w:ascii="Calibri" w:eastAsia="Calibri" w:hAnsi="Calibri" w:cs="Calibri"/>
          <w:color w:val="000000"/>
          <w:sz w:val="24"/>
          <w:szCs w:val="24"/>
        </w:rPr>
        <w:lastRenderedPageBreak/>
        <w:t xml:space="preserve">school to make a referral to colleagues in the health sector, so that their expertise and guidance can be included in the support package. </w:t>
      </w:r>
    </w:p>
    <w:p w14:paraId="0EB3AAF4" w14:textId="77777777" w:rsidR="00A90BFA" w:rsidRDefault="00000000">
      <w:pPr>
        <w:pBdr>
          <w:top w:val="nil"/>
          <w:left w:val="nil"/>
          <w:bottom w:val="nil"/>
          <w:right w:val="nil"/>
          <w:between w:val="nil"/>
        </w:pBdr>
        <w:rPr>
          <w:rFonts w:ascii="Calibri" w:eastAsia="Calibri" w:hAnsi="Calibri" w:cs="Calibri"/>
          <w:color w:val="000000"/>
          <w:sz w:val="24"/>
          <w:szCs w:val="24"/>
        </w:rPr>
        <w:sectPr w:rsidR="00A90BFA">
          <w:pgSz w:w="11906" w:h="16838"/>
          <w:pgMar w:top="720" w:right="720" w:bottom="720" w:left="720" w:header="708" w:footer="708" w:gutter="0"/>
          <w:pgNumType w:start="1"/>
          <w:cols w:space="720"/>
        </w:sectPr>
      </w:pPr>
      <w:r>
        <w:rPr>
          <w:rFonts w:ascii="Calibri" w:eastAsia="Calibri" w:hAnsi="Calibri" w:cs="Calibri"/>
          <w:color w:val="000000"/>
          <w:sz w:val="24"/>
          <w:szCs w:val="24"/>
        </w:rPr>
        <w:t>While SEMH is supported by the SEND Team, colleagues in the Pastoral Team also work closely with children and young people to provide support for anxiety and difficulties around managing the demands of school.  All teams work together to provide the most effective and appropriate support possible, depending on the identified barriers.</w:t>
      </w:r>
    </w:p>
    <w:p w14:paraId="1DB20D16" w14:textId="77777777" w:rsidR="00A90BFA" w:rsidRDefault="00000000">
      <w:pPr>
        <w:rPr>
          <w:rFonts w:ascii="Calibri" w:eastAsia="Calibri" w:hAnsi="Calibri" w:cs="Calibri"/>
          <w:color w:val="12501A"/>
          <w:sz w:val="28"/>
          <w:szCs w:val="28"/>
        </w:rPr>
      </w:pPr>
      <w:r>
        <w:rPr>
          <w:rFonts w:ascii="Calibri" w:eastAsia="Calibri" w:hAnsi="Calibri" w:cs="Calibri"/>
          <w:color w:val="12501A"/>
          <w:sz w:val="28"/>
          <w:szCs w:val="28"/>
        </w:rPr>
        <w:t>Quality First Teaching (QFT) &amp; Ordinarily Available Provision (OAP):</w:t>
      </w:r>
    </w:p>
    <w:p w14:paraId="52ACD28B" w14:textId="77777777" w:rsidR="00A90BFA" w:rsidRDefault="00000000">
      <w:pPr>
        <w:spacing w:line="240" w:lineRule="auto"/>
        <w:rPr>
          <w:rFonts w:ascii="Calibri" w:eastAsia="Calibri" w:hAnsi="Calibri" w:cs="Calibri"/>
          <w:sz w:val="24"/>
          <w:szCs w:val="24"/>
        </w:rPr>
      </w:pPr>
      <w:r>
        <w:rPr>
          <w:rFonts w:ascii="Calibri" w:eastAsia="Calibri" w:hAnsi="Calibri" w:cs="Calibri"/>
          <w:sz w:val="24"/>
          <w:szCs w:val="24"/>
        </w:rPr>
        <w:t>QFT refers to the level of excellent teaching expected in all of our classrooms.  This is the first point of support for all students, and includes strategies adopted by teaching staff.</w:t>
      </w:r>
    </w:p>
    <w:p w14:paraId="4B15F843" w14:textId="77777777" w:rsidR="00A90BFA" w:rsidRDefault="00000000">
      <w:pPr>
        <w:pStyle w:val="Heading1"/>
        <w:spacing w:before="0" w:after="120"/>
        <w:rPr>
          <w:rFonts w:ascii="Calibri" w:eastAsia="Calibri" w:hAnsi="Calibri" w:cs="Calibri"/>
          <w:color w:val="12501A"/>
          <w:sz w:val="24"/>
          <w:szCs w:val="24"/>
        </w:rPr>
      </w:pPr>
      <w:r>
        <w:rPr>
          <w:rFonts w:ascii="Calibri" w:eastAsia="Calibri" w:hAnsi="Calibri" w:cs="Calibri"/>
          <w:color w:val="12501A"/>
          <w:sz w:val="24"/>
          <w:szCs w:val="24"/>
        </w:rPr>
        <w:t>QFT includes:</w:t>
      </w:r>
    </w:p>
    <w:p w14:paraId="24E1ED0C" w14:textId="77777777" w:rsidR="00A90BFA" w:rsidRDefault="00000000">
      <w:pPr>
        <w:numPr>
          <w:ilvl w:val="0"/>
          <w:numId w:val="2"/>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Seating plans or Grouping,</w:t>
      </w:r>
    </w:p>
    <w:p w14:paraId="0A4F9C83" w14:textId="77777777" w:rsidR="00A90BFA" w:rsidRDefault="00000000">
      <w:pPr>
        <w:numPr>
          <w:ilvl w:val="1"/>
          <w:numId w:val="2"/>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Some students require a specific seat for various reasons, such as near the front or back.</w:t>
      </w:r>
    </w:p>
    <w:p w14:paraId="2B33F514" w14:textId="77777777" w:rsidR="00A90BFA" w:rsidRDefault="00000000">
      <w:pPr>
        <w:numPr>
          <w:ilvl w:val="0"/>
          <w:numId w:val="2"/>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Adapted furniture or resources,</w:t>
      </w:r>
    </w:p>
    <w:p w14:paraId="034DCF8B" w14:textId="77777777" w:rsidR="00A90BFA" w:rsidRDefault="00000000">
      <w:pPr>
        <w:numPr>
          <w:ilvl w:val="1"/>
          <w:numId w:val="2"/>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This can include non-slip Design and Technology equipment, magnifying screens, perching stools, pen grips, coloured filters or paper, etc.</w:t>
      </w:r>
    </w:p>
    <w:p w14:paraId="5B1FC1B7" w14:textId="77777777" w:rsidR="00A90BFA" w:rsidRDefault="00000000">
      <w:pPr>
        <w:numPr>
          <w:ilvl w:val="0"/>
          <w:numId w:val="2"/>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Prompting and checking understanding,</w:t>
      </w:r>
    </w:p>
    <w:p w14:paraId="6C57687D" w14:textId="77777777" w:rsidR="00A90BFA" w:rsidRDefault="00000000">
      <w:pPr>
        <w:numPr>
          <w:ilvl w:val="0"/>
          <w:numId w:val="2"/>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Preparation for change,</w:t>
      </w:r>
    </w:p>
    <w:p w14:paraId="7050808A" w14:textId="77777777" w:rsidR="00A90BFA" w:rsidRDefault="00000000">
      <w:pPr>
        <w:numPr>
          <w:ilvl w:val="0"/>
          <w:numId w:val="2"/>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Chunked information and instructions,</w:t>
      </w:r>
    </w:p>
    <w:p w14:paraId="5B601528" w14:textId="77777777" w:rsidR="00A90BFA" w:rsidRDefault="00000000">
      <w:pPr>
        <w:numPr>
          <w:ilvl w:val="0"/>
          <w:numId w:val="2"/>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Routine and predictability,</w:t>
      </w:r>
    </w:p>
    <w:p w14:paraId="10189672" w14:textId="77777777" w:rsidR="00A90BFA" w:rsidRDefault="00000000">
      <w:pPr>
        <w:numPr>
          <w:ilvl w:val="0"/>
          <w:numId w:val="2"/>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Modelling, worked examples and visual demonstrations,</w:t>
      </w:r>
    </w:p>
    <w:p w14:paraId="1A505102" w14:textId="77777777" w:rsidR="00A90BFA" w:rsidRDefault="00000000">
      <w:pPr>
        <w:numPr>
          <w:ilvl w:val="0"/>
          <w:numId w:val="2"/>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Multi-sensory approaches to learning,</w:t>
      </w:r>
    </w:p>
    <w:p w14:paraId="1640790B" w14:textId="77777777" w:rsidR="00A90BFA" w:rsidRDefault="00000000">
      <w:pPr>
        <w:numPr>
          <w:ilvl w:val="0"/>
          <w:numId w:val="2"/>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Repetition, over-learning and Tracked Retrieval practice,</w:t>
      </w:r>
    </w:p>
    <w:p w14:paraId="42706121" w14:textId="77777777" w:rsidR="00A90BFA" w:rsidRDefault="00000000">
      <w:pPr>
        <w:numPr>
          <w:ilvl w:val="0"/>
          <w:numId w:val="2"/>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Pre-teaching of key vocabulary and concepts,</w:t>
      </w:r>
    </w:p>
    <w:p w14:paraId="6C4B096D" w14:textId="77777777" w:rsidR="00A90BFA" w:rsidRDefault="00000000">
      <w:pPr>
        <w:numPr>
          <w:ilvl w:val="0"/>
          <w:numId w:val="2"/>
        </w:numPr>
        <w:pBdr>
          <w:top w:val="nil"/>
          <w:left w:val="nil"/>
          <w:bottom w:val="nil"/>
          <w:right w:val="nil"/>
          <w:between w:val="nil"/>
        </w:pBdr>
        <w:rPr>
          <w:color w:val="000000"/>
          <w:sz w:val="24"/>
          <w:szCs w:val="24"/>
        </w:rPr>
        <w:sectPr w:rsidR="00A90BFA">
          <w:type w:val="continuous"/>
          <w:pgSz w:w="11906" w:h="16838"/>
          <w:pgMar w:top="720" w:right="720" w:bottom="720" w:left="720" w:header="708" w:footer="708" w:gutter="0"/>
          <w:cols w:space="720"/>
        </w:sectPr>
      </w:pPr>
      <w:r>
        <w:rPr>
          <w:rFonts w:ascii="Calibri" w:eastAsia="Calibri" w:hAnsi="Calibri" w:cs="Calibri"/>
          <w:color w:val="000000"/>
          <w:sz w:val="24"/>
          <w:szCs w:val="24"/>
        </w:rPr>
        <w:t>Verbal rehearsal.</w:t>
      </w:r>
    </w:p>
    <w:p w14:paraId="15B57DA8" w14:textId="77777777" w:rsidR="00A90BFA" w:rsidRDefault="00000000">
      <w:pPr>
        <w:spacing w:line="240" w:lineRule="auto"/>
        <w:rPr>
          <w:rFonts w:ascii="Calibri" w:eastAsia="Calibri" w:hAnsi="Calibri" w:cs="Calibri"/>
          <w:sz w:val="24"/>
          <w:szCs w:val="24"/>
        </w:rPr>
      </w:pPr>
      <w:r>
        <w:rPr>
          <w:rFonts w:ascii="Calibri" w:eastAsia="Calibri" w:hAnsi="Calibri" w:cs="Calibri"/>
          <w:sz w:val="24"/>
          <w:szCs w:val="24"/>
        </w:rPr>
        <w:t>OAP is targeted to support students with additional needs or SEND.  This is primarily delivered within the classroom, but also through explicit small group or one-to-one opportunities.</w:t>
      </w:r>
    </w:p>
    <w:p w14:paraId="6EA24E99" w14:textId="77777777" w:rsidR="00A90BFA" w:rsidRDefault="00000000">
      <w:pPr>
        <w:pStyle w:val="Heading1"/>
        <w:spacing w:before="0" w:after="120"/>
        <w:rPr>
          <w:rFonts w:ascii="Calibri" w:eastAsia="Calibri" w:hAnsi="Calibri" w:cs="Calibri"/>
          <w:color w:val="12501A"/>
          <w:sz w:val="24"/>
          <w:szCs w:val="24"/>
        </w:rPr>
      </w:pPr>
      <w:bookmarkStart w:id="1" w:name="_heading=h.ahqew2yusk9i" w:colFirst="0" w:colLast="0"/>
      <w:bookmarkEnd w:id="1"/>
      <w:r>
        <w:rPr>
          <w:rFonts w:ascii="Calibri" w:eastAsia="Calibri" w:hAnsi="Calibri" w:cs="Calibri"/>
          <w:color w:val="12501A"/>
          <w:sz w:val="24"/>
          <w:szCs w:val="24"/>
        </w:rPr>
        <w:t>OAP includes:</w:t>
      </w:r>
    </w:p>
    <w:p w14:paraId="63AE491A" w14:textId="77777777" w:rsidR="00A90BFA" w:rsidRDefault="00000000">
      <w:pPr>
        <w:numPr>
          <w:ilvl w:val="0"/>
          <w:numId w:val="3"/>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Printed resources or handouts to avoid copying from the board,</w:t>
      </w:r>
    </w:p>
    <w:p w14:paraId="30375EA9" w14:textId="77777777" w:rsidR="00A90BFA" w:rsidRDefault="00000000">
      <w:pPr>
        <w:numPr>
          <w:ilvl w:val="0"/>
          <w:numId w:val="3"/>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To-do lists or check lists to aid ‘now and next’ thinking skills and organisation,</w:t>
      </w:r>
    </w:p>
    <w:p w14:paraId="573748AB" w14:textId="77777777" w:rsidR="00A90BFA" w:rsidRDefault="00000000">
      <w:pPr>
        <w:numPr>
          <w:ilvl w:val="0"/>
          <w:numId w:val="3"/>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 xml:space="preserve">Additional prompting and chunking, </w:t>
      </w:r>
    </w:p>
    <w:p w14:paraId="7EEBA8B3" w14:textId="77777777" w:rsidR="00A90BFA" w:rsidRDefault="00000000">
      <w:pPr>
        <w:numPr>
          <w:ilvl w:val="0"/>
          <w:numId w:val="3"/>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Additional concrete resources or manipulatives, such as blocks or counters,</w:t>
      </w:r>
    </w:p>
    <w:p w14:paraId="31B3E067" w14:textId="77777777" w:rsidR="00A90BFA" w:rsidRDefault="00000000">
      <w:pPr>
        <w:numPr>
          <w:ilvl w:val="0"/>
          <w:numId w:val="3"/>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Writing frames and word banks,</w:t>
      </w:r>
    </w:p>
    <w:p w14:paraId="5CB48F2E" w14:textId="77777777" w:rsidR="00A90BFA" w:rsidRDefault="00000000">
      <w:pPr>
        <w:numPr>
          <w:ilvl w:val="0"/>
          <w:numId w:val="3"/>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Additional communication tools, such as white boards or help cards,</w:t>
      </w:r>
    </w:p>
    <w:p w14:paraId="15E5C7A8" w14:textId="77777777" w:rsidR="00A90BFA" w:rsidRDefault="00000000">
      <w:pPr>
        <w:numPr>
          <w:ilvl w:val="0"/>
          <w:numId w:val="3"/>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Time Out cards and identified spaces for time outs,</w:t>
      </w:r>
    </w:p>
    <w:p w14:paraId="2B2939BF" w14:textId="77777777" w:rsidR="00A90BFA" w:rsidRDefault="00000000">
      <w:pPr>
        <w:numPr>
          <w:ilvl w:val="0"/>
          <w:numId w:val="3"/>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Access arrangements, such as group reader, extra time, or a word processor,</w:t>
      </w:r>
    </w:p>
    <w:p w14:paraId="67991353" w14:textId="77777777" w:rsidR="00A90BFA" w:rsidRDefault="00000000">
      <w:pPr>
        <w:numPr>
          <w:ilvl w:val="0"/>
          <w:numId w:val="3"/>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Additional visual resources and scaffolds,</w:t>
      </w:r>
    </w:p>
    <w:p w14:paraId="7687472B" w14:textId="77777777" w:rsidR="00A90BFA" w:rsidRDefault="00000000">
      <w:pPr>
        <w:numPr>
          <w:ilvl w:val="0"/>
          <w:numId w:val="3"/>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Targeted literacy or numeracy interventions,</w:t>
      </w:r>
    </w:p>
    <w:p w14:paraId="3EC22BAA" w14:textId="77777777" w:rsidR="00A90BFA" w:rsidRDefault="00000000">
      <w:pPr>
        <w:numPr>
          <w:ilvl w:val="0"/>
          <w:numId w:val="3"/>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Targeted social, emotional or mental health intervention,</w:t>
      </w:r>
    </w:p>
    <w:p w14:paraId="3A11FA17" w14:textId="77777777" w:rsidR="00A90BFA" w:rsidRDefault="00000000">
      <w:pPr>
        <w:numPr>
          <w:ilvl w:val="1"/>
          <w:numId w:val="3"/>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This may be through an informal ‘meet and greet’ with a key adult, or a more formalised therapeutic intervention.  The provision is dependent on the individual student, as well as any support they are accessing outside of school.</w:t>
      </w:r>
    </w:p>
    <w:p w14:paraId="5EB41C52" w14:textId="77777777" w:rsidR="00A90BFA" w:rsidRDefault="00000000">
      <w:pPr>
        <w:numPr>
          <w:ilvl w:val="0"/>
          <w:numId w:val="3"/>
        </w:numPr>
        <w:pBdr>
          <w:top w:val="nil"/>
          <w:left w:val="nil"/>
          <w:bottom w:val="nil"/>
          <w:right w:val="nil"/>
          <w:between w:val="nil"/>
        </w:pBdr>
        <w:rPr>
          <w:color w:val="000000"/>
          <w:sz w:val="24"/>
          <w:szCs w:val="24"/>
        </w:rPr>
        <w:sectPr w:rsidR="00A90BFA">
          <w:type w:val="continuous"/>
          <w:pgSz w:w="11906" w:h="16838"/>
          <w:pgMar w:top="720" w:right="720" w:bottom="720" w:left="720" w:header="708" w:footer="708" w:gutter="0"/>
          <w:cols w:space="720"/>
        </w:sectPr>
      </w:pPr>
      <w:r>
        <w:rPr>
          <w:rFonts w:ascii="Calibri" w:eastAsia="Calibri" w:hAnsi="Calibri" w:cs="Calibri"/>
          <w:color w:val="000000"/>
          <w:sz w:val="24"/>
          <w:szCs w:val="24"/>
        </w:rPr>
        <w:t>Mentoring.</w:t>
      </w:r>
    </w:p>
    <w:p w14:paraId="3EAF5912" w14:textId="77777777" w:rsidR="00A90BFA" w:rsidRDefault="00000000">
      <w:pPr>
        <w:rPr>
          <w:rFonts w:ascii="Calibri" w:eastAsia="Calibri" w:hAnsi="Calibri" w:cs="Calibri"/>
          <w:color w:val="12501A"/>
          <w:sz w:val="28"/>
          <w:szCs w:val="28"/>
        </w:rPr>
      </w:pPr>
      <w:r>
        <w:rPr>
          <w:rFonts w:ascii="Calibri" w:eastAsia="Calibri" w:hAnsi="Calibri" w:cs="Calibri"/>
          <w:color w:val="12501A"/>
          <w:sz w:val="28"/>
          <w:szCs w:val="28"/>
        </w:rPr>
        <w:t>Identification of need:</w:t>
      </w:r>
    </w:p>
    <w:p w14:paraId="67F8D4DD" w14:textId="77777777" w:rsidR="00A90BFA" w:rsidRDefault="00000000">
      <w:pPr>
        <w:rPr>
          <w:rFonts w:ascii="Calibri" w:eastAsia="Calibri" w:hAnsi="Calibri" w:cs="Calibri"/>
          <w:sz w:val="24"/>
          <w:szCs w:val="24"/>
        </w:rPr>
      </w:pPr>
      <w:r>
        <w:rPr>
          <w:rFonts w:ascii="Calibri" w:eastAsia="Calibri" w:hAnsi="Calibri" w:cs="Calibri"/>
          <w:sz w:val="24"/>
          <w:szCs w:val="24"/>
        </w:rPr>
        <w:lastRenderedPageBreak/>
        <w:t>The school works on the Assess – Plan – Do – Review cycle of identifying and supporting the difficulties some children and young people experience in school.</w:t>
      </w:r>
      <w:r>
        <w:rPr>
          <w:noProof/>
        </w:rPr>
        <mc:AlternateContent>
          <mc:Choice Requires="wpg">
            <w:drawing>
              <wp:anchor distT="0" distB="0" distL="114300" distR="114300" simplePos="0" relativeHeight="251658240" behindDoc="0" locked="0" layoutInCell="1" hidden="0" allowOverlap="1" wp14:anchorId="7D18998A" wp14:editId="33C730FB">
                <wp:simplePos x="0" y="0"/>
                <wp:positionH relativeFrom="column">
                  <wp:posOffset>1737677</wp:posOffset>
                </wp:positionH>
                <wp:positionV relativeFrom="paragraph">
                  <wp:posOffset>456936</wp:posOffset>
                </wp:positionV>
                <wp:extent cx="3453015" cy="1588018"/>
                <wp:effectExtent l="0" t="0" r="0" b="0"/>
                <wp:wrapSquare wrapText="bothSides" distT="0" distB="0" distL="114300" distR="114300"/>
                <wp:docPr id="543316014" name="Group 543316014"/>
                <wp:cNvGraphicFramePr/>
                <a:graphic xmlns:a="http://schemas.openxmlformats.org/drawingml/2006/main">
                  <a:graphicData uri="http://schemas.microsoft.com/office/word/2010/wordprocessingGroup">
                    <wpg:wgp>
                      <wpg:cNvGrpSpPr/>
                      <wpg:grpSpPr>
                        <a:xfrm>
                          <a:off x="0" y="0"/>
                          <a:ext cx="3453015" cy="1588018"/>
                          <a:chOff x="3619475" y="2985975"/>
                          <a:chExt cx="3453050" cy="1588050"/>
                        </a:xfrm>
                      </wpg:grpSpPr>
                      <wpg:grpSp>
                        <wpg:cNvPr id="1" name="Group 1"/>
                        <wpg:cNvGrpSpPr/>
                        <wpg:grpSpPr>
                          <a:xfrm>
                            <a:off x="3619493" y="2985991"/>
                            <a:ext cx="3453015" cy="1588018"/>
                            <a:chOff x="0" y="0"/>
                            <a:chExt cx="3553875" cy="1625150"/>
                          </a:xfrm>
                        </wpg:grpSpPr>
                        <wps:wsp>
                          <wps:cNvPr id="2" name="Rectangle 2"/>
                          <wps:cNvSpPr/>
                          <wps:spPr>
                            <a:xfrm>
                              <a:off x="0" y="0"/>
                              <a:ext cx="3553875" cy="1625150"/>
                            </a:xfrm>
                            <a:prstGeom prst="rect">
                              <a:avLst/>
                            </a:prstGeom>
                            <a:noFill/>
                            <a:ln>
                              <a:noFill/>
                            </a:ln>
                          </wps:spPr>
                          <wps:txbx>
                            <w:txbxContent>
                              <w:p w14:paraId="7BCB51EC" w14:textId="77777777" w:rsidR="00A90BFA" w:rsidRDefault="00A90BFA">
                                <w:pPr>
                                  <w:spacing w:after="0" w:line="240" w:lineRule="auto"/>
                                  <w:textDirection w:val="btLr"/>
                                </w:pPr>
                              </w:p>
                            </w:txbxContent>
                          </wps:txbx>
                          <wps:bodyPr spcFirstLastPara="1" wrap="square" lIns="91425" tIns="91425" rIns="91425" bIns="91425" anchor="ctr" anchorCtr="0">
                            <a:noAutofit/>
                          </wps:bodyPr>
                        </wps:wsp>
                        <wpg:grpSp>
                          <wpg:cNvPr id="3" name="Group 3"/>
                          <wpg:cNvGrpSpPr/>
                          <wpg:grpSpPr>
                            <a:xfrm>
                              <a:off x="0" y="0"/>
                              <a:ext cx="3553869" cy="1625128"/>
                              <a:chOff x="0" y="0"/>
                              <a:chExt cx="3170550" cy="1341750"/>
                            </a:xfrm>
                          </wpg:grpSpPr>
                          <wps:wsp>
                            <wps:cNvPr id="4" name="Rectangle 4"/>
                            <wps:cNvSpPr/>
                            <wps:spPr>
                              <a:xfrm>
                                <a:off x="0" y="0"/>
                                <a:ext cx="3170550" cy="1341750"/>
                              </a:xfrm>
                              <a:prstGeom prst="rect">
                                <a:avLst/>
                              </a:prstGeom>
                              <a:noFill/>
                              <a:ln>
                                <a:noFill/>
                              </a:ln>
                            </wps:spPr>
                            <wps:txbx>
                              <w:txbxContent>
                                <w:p w14:paraId="668A24B9" w14:textId="77777777" w:rsidR="00A90BFA" w:rsidRDefault="00A90BFA">
                                  <w:pPr>
                                    <w:spacing w:after="0" w:line="240" w:lineRule="auto"/>
                                    <w:textDirection w:val="btLr"/>
                                  </w:pPr>
                                </w:p>
                              </w:txbxContent>
                            </wps:txbx>
                            <wps:bodyPr spcFirstLastPara="1" wrap="square" lIns="91425" tIns="91425" rIns="91425" bIns="91425" anchor="ctr" anchorCtr="0">
                              <a:noAutofit/>
                            </wps:bodyPr>
                          </wps:wsp>
                          <wps:wsp>
                            <wps:cNvPr id="5" name="Partial Circle 5"/>
                            <wps:cNvSpPr/>
                            <wps:spPr>
                              <a:xfrm>
                                <a:off x="1022659" y="70421"/>
                                <a:ext cx="1127074" cy="1127074"/>
                              </a:xfrm>
                              <a:prstGeom prst="pie">
                                <a:avLst>
                                  <a:gd name="adj1" fmla="val 16200000"/>
                                  <a:gd name="adj2" fmla="val 0"/>
                                </a:avLst>
                              </a:prstGeom>
                              <a:solidFill>
                                <a:srgbClr val="176B22">
                                  <a:alpha val="89804"/>
                                </a:srgbClr>
                              </a:solidFill>
                              <a:ln w="12700" cap="flat" cmpd="sng">
                                <a:solidFill>
                                  <a:schemeClr val="lt1"/>
                                </a:solidFill>
                                <a:prstDash val="solid"/>
                                <a:miter lim="8000"/>
                                <a:headEnd type="none" w="sm" len="sm"/>
                                <a:tailEnd type="none" w="sm" len="sm"/>
                              </a:ln>
                            </wps:spPr>
                            <wps:txbx>
                              <w:txbxContent>
                                <w:p w14:paraId="5F7C25E9" w14:textId="77777777" w:rsidR="00A90BFA" w:rsidRDefault="00A90BFA">
                                  <w:pPr>
                                    <w:spacing w:after="0" w:line="240" w:lineRule="auto"/>
                                    <w:textDirection w:val="btLr"/>
                                  </w:pPr>
                                </w:p>
                              </w:txbxContent>
                            </wps:txbx>
                            <wps:bodyPr spcFirstLastPara="1" wrap="square" lIns="91425" tIns="91425" rIns="91425" bIns="91425" anchor="ctr" anchorCtr="0">
                              <a:noAutofit/>
                            </wps:bodyPr>
                          </wps:wsp>
                          <wps:wsp>
                            <wps:cNvPr id="6" name="Rectangle 6"/>
                            <wps:cNvSpPr/>
                            <wps:spPr>
                              <a:xfrm>
                                <a:off x="1620947" y="304021"/>
                                <a:ext cx="415944" cy="308603"/>
                              </a:xfrm>
                              <a:prstGeom prst="rect">
                                <a:avLst/>
                              </a:prstGeom>
                              <a:noFill/>
                              <a:ln>
                                <a:noFill/>
                              </a:ln>
                            </wps:spPr>
                            <wps:txbx>
                              <w:txbxContent>
                                <w:p w14:paraId="4EB77812" w14:textId="77777777" w:rsidR="00A90BFA" w:rsidRDefault="00000000">
                                  <w:pPr>
                                    <w:spacing w:after="0" w:line="215" w:lineRule="auto"/>
                                    <w:jc w:val="center"/>
                                    <w:textDirection w:val="btLr"/>
                                  </w:pPr>
                                  <w:r>
                                    <w:rPr>
                                      <w:rFonts w:ascii="Arial" w:eastAsia="Arial" w:hAnsi="Arial" w:cs="Arial"/>
                                      <w:color w:val="000000"/>
                                    </w:rPr>
                                    <w:t>Assess</w:t>
                                  </w:r>
                                </w:p>
                              </w:txbxContent>
                            </wps:txbx>
                            <wps:bodyPr spcFirstLastPara="1" wrap="square" lIns="12700" tIns="12700" rIns="12700" bIns="12700" anchor="ctr" anchorCtr="0">
                              <a:noAutofit/>
                            </wps:bodyPr>
                          </wps:wsp>
                          <wps:wsp>
                            <wps:cNvPr id="7" name="Partial Circle 7"/>
                            <wps:cNvSpPr/>
                            <wps:spPr>
                              <a:xfrm>
                                <a:off x="1022659" y="108259"/>
                                <a:ext cx="1127074" cy="1127074"/>
                              </a:xfrm>
                              <a:prstGeom prst="pie">
                                <a:avLst>
                                  <a:gd name="adj1" fmla="val 0"/>
                                  <a:gd name="adj2" fmla="val 5400000"/>
                                </a:avLst>
                              </a:prstGeom>
                              <a:solidFill>
                                <a:srgbClr val="176B22">
                                  <a:alpha val="76863"/>
                                </a:srgbClr>
                              </a:solidFill>
                              <a:ln w="12700" cap="flat" cmpd="sng">
                                <a:solidFill>
                                  <a:schemeClr val="lt1"/>
                                </a:solidFill>
                                <a:prstDash val="solid"/>
                                <a:miter lim="8000"/>
                                <a:headEnd type="none" w="sm" len="sm"/>
                                <a:tailEnd type="none" w="sm" len="sm"/>
                              </a:ln>
                            </wps:spPr>
                            <wps:txbx>
                              <w:txbxContent>
                                <w:p w14:paraId="08200F8F" w14:textId="77777777" w:rsidR="00A90BFA" w:rsidRDefault="00A90BFA">
                                  <w:pPr>
                                    <w:spacing w:after="0" w:line="240" w:lineRule="auto"/>
                                    <w:textDirection w:val="btLr"/>
                                  </w:pPr>
                                </w:p>
                              </w:txbxContent>
                            </wps:txbx>
                            <wps:bodyPr spcFirstLastPara="1" wrap="square" lIns="91425" tIns="91425" rIns="91425" bIns="91425" anchor="ctr" anchorCtr="0">
                              <a:noAutofit/>
                            </wps:bodyPr>
                          </wps:wsp>
                          <wps:wsp>
                            <wps:cNvPr id="8" name="Rectangle 8"/>
                            <wps:cNvSpPr/>
                            <wps:spPr>
                              <a:xfrm>
                                <a:off x="1620947" y="693130"/>
                                <a:ext cx="415944" cy="308603"/>
                              </a:xfrm>
                              <a:prstGeom prst="rect">
                                <a:avLst/>
                              </a:prstGeom>
                              <a:noFill/>
                              <a:ln>
                                <a:noFill/>
                              </a:ln>
                            </wps:spPr>
                            <wps:txbx>
                              <w:txbxContent>
                                <w:p w14:paraId="47B0085A" w14:textId="77777777" w:rsidR="00A90BFA" w:rsidRDefault="00000000">
                                  <w:pPr>
                                    <w:spacing w:after="0" w:line="215" w:lineRule="auto"/>
                                    <w:jc w:val="center"/>
                                    <w:textDirection w:val="btLr"/>
                                  </w:pPr>
                                  <w:r>
                                    <w:rPr>
                                      <w:rFonts w:ascii="Arial" w:eastAsia="Arial" w:hAnsi="Arial" w:cs="Arial"/>
                                      <w:color w:val="000000"/>
                                    </w:rPr>
                                    <w:t>Plan</w:t>
                                  </w:r>
                                </w:p>
                              </w:txbxContent>
                            </wps:txbx>
                            <wps:bodyPr spcFirstLastPara="1" wrap="square" lIns="12700" tIns="12700" rIns="12700" bIns="12700" anchor="ctr" anchorCtr="0">
                              <a:noAutofit/>
                            </wps:bodyPr>
                          </wps:wsp>
                          <wps:wsp>
                            <wps:cNvPr id="9" name="Partial Circle 9"/>
                            <wps:cNvSpPr/>
                            <wps:spPr>
                              <a:xfrm>
                                <a:off x="984821" y="108259"/>
                                <a:ext cx="1127074" cy="1127074"/>
                              </a:xfrm>
                              <a:prstGeom prst="pie">
                                <a:avLst>
                                  <a:gd name="adj1" fmla="val 5400000"/>
                                  <a:gd name="adj2" fmla="val 10800000"/>
                                </a:avLst>
                              </a:prstGeom>
                              <a:solidFill>
                                <a:srgbClr val="176B22">
                                  <a:alpha val="63137"/>
                                </a:srgbClr>
                              </a:solidFill>
                              <a:ln w="12700" cap="flat" cmpd="sng">
                                <a:solidFill>
                                  <a:schemeClr val="lt1"/>
                                </a:solidFill>
                                <a:prstDash val="solid"/>
                                <a:miter lim="8000"/>
                                <a:headEnd type="none" w="sm" len="sm"/>
                                <a:tailEnd type="none" w="sm" len="sm"/>
                              </a:ln>
                            </wps:spPr>
                            <wps:txbx>
                              <w:txbxContent>
                                <w:p w14:paraId="137DE07B" w14:textId="77777777" w:rsidR="00A90BFA" w:rsidRDefault="00A90BFA">
                                  <w:pPr>
                                    <w:spacing w:after="0" w:line="240" w:lineRule="auto"/>
                                    <w:textDirection w:val="btLr"/>
                                  </w:pPr>
                                </w:p>
                              </w:txbxContent>
                            </wps:txbx>
                            <wps:bodyPr spcFirstLastPara="1" wrap="square" lIns="91425" tIns="91425" rIns="91425" bIns="91425" anchor="ctr" anchorCtr="0">
                              <a:noAutofit/>
                            </wps:bodyPr>
                          </wps:wsp>
                          <wps:wsp>
                            <wps:cNvPr id="10" name="Rectangle 10"/>
                            <wps:cNvSpPr/>
                            <wps:spPr>
                              <a:xfrm>
                                <a:off x="1097663" y="693130"/>
                                <a:ext cx="415944" cy="308603"/>
                              </a:xfrm>
                              <a:prstGeom prst="rect">
                                <a:avLst/>
                              </a:prstGeom>
                              <a:noFill/>
                              <a:ln>
                                <a:noFill/>
                              </a:ln>
                            </wps:spPr>
                            <wps:txbx>
                              <w:txbxContent>
                                <w:p w14:paraId="6FC2FAA7" w14:textId="77777777" w:rsidR="00A90BFA" w:rsidRDefault="00000000">
                                  <w:pPr>
                                    <w:spacing w:after="0" w:line="215" w:lineRule="auto"/>
                                    <w:jc w:val="center"/>
                                    <w:textDirection w:val="btLr"/>
                                  </w:pPr>
                                  <w:r>
                                    <w:rPr>
                                      <w:rFonts w:ascii="Arial" w:eastAsia="Arial" w:hAnsi="Arial" w:cs="Arial"/>
                                      <w:color w:val="000000"/>
                                    </w:rPr>
                                    <w:t>Do</w:t>
                                  </w:r>
                                </w:p>
                              </w:txbxContent>
                            </wps:txbx>
                            <wps:bodyPr spcFirstLastPara="1" wrap="square" lIns="12700" tIns="12700" rIns="12700" bIns="12700" anchor="ctr" anchorCtr="0">
                              <a:noAutofit/>
                            </wps:bodyPr>
                          </wps:wsp>
                          <wps:wsp>
                            <wps:cNvPr id="11" name="Partial Circle 11"/>
                            <wps:cNvSpPr/>
                            <wps:spPr>
                              <a:xfrm>
                                <a:off x="984821" y="70421"/>
                                <a:ext cx="1127074" cy="1127074"/>
                              </a:xfrm>
                              <a:prstGeom prst="pie">
                                <a:avLst>
                                  <a:gd name="adj1" fmla="val 10800000"/>
                                  <a:gd name="adj2" fmla="val 16200000"/>
                                </a:avLst>
                              </a:prstGeom>
                              <a:solidFill>
                                <a:srgbClr val="176B22">
                                  <a:alpha val="49804"/>
                                </a:srgbClr>
                              </a:solidFill>
                              <a:ln w="12700" cap="flat" cmpd="sng">
                                <a:solidFill>
                                  <a:schemeClr val="lt1"/>
                                </a:solidFill>
                                <a:prstDash val="solid"/>
                                <a:miter lim="8000"/>
                                <a:headEnd type="none" w="sm" len="sm"/>
                                <a:tailEnd type="none" w="sm" len="sm"/>
                              </a:ln>
                            </wps:spPr>
                            <wps:txbx>
                              <w:txbxContent>
                                <w:p w14:paraId="51E75EA9" w14:textId="77777777" w:rsidR="00A90BFA" w:rsidRDefault="00A90BFA">
                                  <w:pPr>
                                    <w:spacing w:after="0" w:line="240" w:lineRule="auto"/>
                                    <w:textDirection w:val="btLr"/>
                                  </w:pPr>
                                </w:p>
                              </w:txbxContent>
                            </wps:txbx>
                            <wps:bodyPr spcFirstLastPara="1" wrap="square" lIns="91425" tIns="91425" rIns="91425" bIns="91425" anchor="ctr" anchorCtr="0">
                              <a:noAutofit/>
                            </wps:bodyPr>
                          </wps:wsp>
                          <wps:wsp>
                            <wps:cNvPr id="12" name="Rectangle 12"/>
                            <wps:cNvSpPr/>
                            <wps:spPr>
                              <a:xfrm>
                                <a:off x="1097663" y="304021"/>
                                <a:ext cx="415944" cy="308603"/>
                              </a:xfrm>
                              <a:prstGeom prst="rect">
                                <a:avLst/>
                              </a:prstGeom>
                              <a:noFill/>
                              <a:ln>
                                <a:noFill/>
                              </a:ln>
                            </wps:spPr>
                            <wps:txbx>
                              <w:txbxContent>
                                <w:p w14:paraId="638B9826" w14:textId="77777777" w:rsidR="00A90BFA" w:rsidRDefault="00000000">
                                  <w:pPr>
                                    <w:spacing w:after="0" w:line="215" w:lineRule="auto"/>
                                    <w:jc w:val="center"/>
                                    <w:textDirection w:val="btLr"/>
                                  </w:pPr>
                                  <w:r>
                                    <w:rPr>
                                      <w:rFonts w:ascii="Arial" w:eastAsia="Arial" w:hAnsi="Arial" w:cs="Arial"/>
                                      <w:color w:val="000000"/>
                                    </w:rPr>
                                    <w:t>Review</w:t>
                                  </w:r>
                                </w:p>
                              </w:txbxContent>
                            </wps:txbx>
                            <wps:bodyPr spcFirstLastPara="1" wrap="square" lIns="12700" tIns="12700" rIns="12700" bIns="12700" anchor="ctr" anchorCtr="0">
                              <a:noAutofit/>
                            </wps:bodyPr>
                          </wps:wsp>
                          <wps:wsp>
                            <wps:cNvPr id="13" name="Free-form: Shape 13"/>
                            <wps:cNvSpPr/>
                            <wps:spPr>
                              <a:xfrm>
                                <a:off x="952887" y="650"/>
                                <a:ext cx="1266616" cy="1266616"/>
                              </a:xfrm>
                              <a:custGeom>
                                <a:avLst/>
                                <a:gdLst/>
                                <a:ahLst/>
                                <a:cxnLst/>
                                <a:rect l="l" t="t" r="r" b="b"/>
                                <a:pathLst>
                                  <a:path w="120000" h="120000" extrusionOk="0">
                                    <a:moveTo>
                                      <a:pt x="60000" y="3764"/>
                                    </a:moveTo>
                                    <a:cubicBezTo>
                                      <a:pt x="89094" y="3764"/>
                                      <a:pt x="113330" y="26190"/>
                                      <a:pt x="115740" y="55341"/>
                                    </a:cubicBezTo>
                                    <a:lnTo>
                                      <a:pt x="119798" y="55341"/>
                                    </a:lnTo>
                                    <a:lnTo>
                                      <a:pt x="112882" y="60000"/>
                                    </a:lnTo>
                                    <a:lnTo>
                                      <a:pt x="105562" y="55341"/>
                                    </a:lnTo>
                                    <a:lnTo>
                                      <a:pt x="109619" y="55341"/>
                                    </a:lnTo>
                                    <a:cubicBezTo>
                                      <a:pt x="107248" y="29318"/>
                                      <a:pt x="85743" y="9411"/>
                                      <a:pt x="60000" y="9411"/>
                                    </a:cubicBezTo>
                                    <a:close/>
                                  </a:path>
                                </a:pathLst>
                              </a:custGeom>
                              <a:solidFill>
                                <a:srgbClr val="156420"/>
                              </a:solidFill>
                              <a:ln>
                                <a:noFill/>
                              </a:ln>
                            </wps:spPr>
                            <wps:txbx>
                              <w:txbxContent>
                                <w:p w14:paraId="538CA923" w14:textId="77777777" w:rsidR="00A90BFA" w:rsidRDefault="00A90BFA">
                                  <w:pPr>
                                    <w:spacing w:after="0" w:line="240" w:lineRule="auto"/>
                                    <w:textDirection w:val="btLr"/>
                                  </w:pPr>
                                </w:p>
                              </w:txbxContent>
                            </wps:txbx>
                            <wps:bodyPr spcFirstLastPara="1" wrap="square" lIns="91425" tIns="91425" rIns="91425" bIns="91425" anchor="ctr" anchorCtr="0">
                              <a:noAutofit/>
                            </wps:bodyPr>
                          </wps:wsp>
                          <wps:wsp>
                            <wps:cNvPr id="14" name="Free-form: Shape 14"/>
                            <wps:cNvSpPr/>
                            <wps:spPr>
                              <a:xfrm>
                                <a:off x="952887" y="38487"/>
                                <a:ext cx="1266616" cy="1266616"/>
                              </a:xfrm>
                              <a:custGeom>
                                <a:avLst/>
                                <a:gdLst/>
                                <a:ahLst/>
                                <a:cxnLst/>
                                <a:rect l="l" t="t" r="r" b="b"/>
                                <a:pathLst>
                                  <a:path w="120000" h="120000" extrusionOk="0">
                                    <a:moveTo>
                                      <a:pt x="115933" y="60000"/>
                                    </a:moveTo>
                                    <a:cubicBezTo>
                                      <a:pt x="115933" y="88922"/>
                                      <a:pt x="94113" y="113128"/>
                                      <a:pt x="65486" y="115965"/>
                                    </a:cubicBezTo>
                                    <a:lnTo>
                                      <a:pt x="65486" y="119712"/>
                                    </a:lnTo>
                                    <a:lnTo>
                                      <a:pt x="60000" y="113412"/>
                                    </a:lnTo>
                                    <a:lnTo>
                                      <a:pt x="65486" y="106536"/>
                                    </a:lnTo>
                                    <a:lnTo>
                                      <a:pt x="65486" y="110281"/>
                                    </a:lnTo>
                                    <a:cubicBezTo>
                                      <a:pt x="90729" y="107443"/>
                                      <a:pt x="109831" y="85784"/>
                                      <a:pt x="109831" y="60000"/>
                                    </a:cubicBezTo>
                                    <a:close/>
                                  </a:path>
                                </a:pathLst>
                              </a:custGeom>
                              <a:solidFill>
                                <a:srgbClr val="389844"/>
                              </a:solidFill>
                              <a:ln>
                                <a:noFill/>
                              </a:ln>
                            </wps:spPr>
                            <wps:txbx>
                              <w:txbxContent>
                                <w:p w14:paraId="287D8DA4" w14:textId="77777777" w:rsidR="00A90BFA" w:rsidRDefault="00A90BFA">
                                  <w:pPr>
                                    <w:spacing w:after="0" w:line="240" w:lineRule="auto"/>
                                    <w:textDirection w:val="btLr"/>
                                  </w:pPr>
                                </w:p>
                              </w:txbxContent>
                            </wps:txbx>
                            <wps:bodyPr spcFirstLastPara="1" wrap="square" lIns="91425" tIns="91425" rIns="91425" bIns="91425" anchor="ctr" anchorCtr="0">
                              <a:noAutofit/>
                            </wps:bodyPr>
                          </wps:wsp>
                          <wps:wsp>
                            <wps:cNvPr id="15" name="Free-form: Shape 15"/>
                            <wps:cNvSpPr/>
                            <wps:spPr>
                              <a:xfrm>
                                <a:off x="915050" y="38487"/>
                                <a:ext cx="1266616" cy="1266616"/>
                              </a:xfrm>
                              <a:custGeom>
                                <a:avLst/>
                                <a:gdLst/>
                                <a:ahLst/>
                                <a:cxnLst/>
                                <a:rect l="l" t="t" r="r" b="b"/>
                                <a:pathLst>
                                  <a:path w="120000" h="120000" extrusionOk="0">
                                    <a:moveTo>
                                      <a:pt x="60000" y="116236"/>
                                    </a:moveTo>
                                    <a:cubicBezTo>
                                      <a:pt x="30906" y="116236"/>
                                      <a:pt x="6670" y="93810"/>
                                      <a:pt x="4260" y="64659"/>
                                    </a:cubicBezTo>
                                    <a:lnTo>
                                      <a:pt x="202" y="64659"/>
                                    </a:lnTo>
                                    <a:lnTo>
                                      <a:pt x="7118" y="60000"/>
                                    </a:lnTo>
                                    <a:lnTo>
                                      <a:pt x="14438" y="64659"/>
                                    </a:lnTo>
                                    <a:lnTo>
                                      <a:pt x="10381" y="64659"/>
                                    </a:lnTo>
                                    <a:cubicBezTo>
                                      <a:pt x="12752" y="90682"/>
                                      <a:pt x="34257" y="110589"/>
                                      <a:pt x="60000" y="110589"/>
                                    </a:cubicBezTo>
                                    <a:close/>
                                  </a:path>
                                </a:pathLst>
                              </a:custGeom>
                              <a:solidFill>
                                <a:srgbClr val="76B27C"/>
                              </a:solidFill>
                              <a:ln>
                                <a:noFill/>
                              </a:ln>
                            </wps:spPr>
                            <wps:txbx>
                              <w:txbxContent>
                                <w:p w14:paraId="315A0D88" w14:textId="77777777" w:rsidR="00A90BFA" w:rsidRDefault="00A90BFA">
                                  <w:pPr>
                                    <w:spacing w:after="0" w:line="240" w:lineRule="auto"/>
                                    <w:textDirection w:val="btLr"/>
                                  </w:pPr>
                                </w:p>
                              </w:txbxContent>
                            </wps:txbx>
                            <wps:bodyPr spcFirstLastPara="1" wrap="square" lIns="91425" tIns="91425" rIns="91425" bIns="91425" anchor="ctr" anchorCtr="0">
                              <a:noAutofit/>
                            </wps:bodyPr>
                          </wps:wsp>
                          <wps:wsp>
                            <wps:cNvPr id="16" name="Free-form: Shape 16"/>
                            <wps:cNvSpPr/>
                            <wps:spPr>
                              <a:xfrm>
                                <a:off x="915050" y="650"/>
                                <a:ext cx="1266616" cy="1266616"/>
                              </a:xfrm>
                              <a:custGeom>
                                <a:avLst/>
                                <a:gdLst/>
                                <a:ahLst/>
                                <a:cxnLst/>
                                <a:rect l="l" t="t" r="r" b="b"/>
                                <a:pathLst>
                                  <a:path w="120000" h="120000" extrusionOk="0">
                                    <a:moveTo>
                                      <a:pt x="4067" y="60000"/>
                                    </a:moveTo>
                                    <a:cubicBezTo>
                                      <a:pt x="4067" y="31078"/>
                                      <a:pt x="25887" y="6872"/>
                                      <a:pt x="54514" y="4035"/>
                                    </a:cubicBezTo>
                                    <a:lnTo>
                                      <a:pt x="54514" y="288"/>
                                    </a:lnTo>
                                    <a:lnTo>
                                      <a:pt x="60000" y="6588"/>
                                    </a:lnTo>
                                    <a:lnTo>
                                      <a:pt x="54514" y="13464"/>
                                    </a:lnTo>
                                    <a:lnTo>
                                      <a:pt x="54514" y="9719"/>
                                    </a:lnTo>
                                    <a:cubicBezTo>
                                      <a:pt x="29271" y="12557"/>
                                      <a:pt x="10169" y="34216"/>
                                      <a:pt x="10169" y="60000"/>
                                    </a:cubicBezTo>
                                    <a:close/>
                                  </a:path>
                                </a:pathLst>
                              </a:custGeom>
                              <a:solidFill>
                                <a:srgbClr val="BAC6BB"/>
                              </a:solidFill>
                              <a:ln>
                                <a:noFill/>
                              </a:ln>
                            </wps:spPr>
                            <wps:txbx>
                              <w:txbxContent>
                                <w:p w14:paraId="518E79B3" w14:textId="77777777" w:rsidR="00A90BFA" w:rsidRDefault="00A90BFA">
                                  <w:pPr>
                                    <w:spacing w:after="0" w:line="240" w:lineRule="auto"/>
                                    <w:textDirection w:val="btLr"/>
                                  </w:pPr>
                                </w:p>
                              </w:txbxContent>
                            </wps:txbx>
                            <wps:bodyPr spcFirstLastPara="1" wrap="square" lIns="91425" tIns="91425" rIns="91425" bIns="91425" anchor="ctr" anchorCtr="0">
                              <a:noAutofit/>
                            </wps:bodyPr>
                          </wps:wsp>
                        </wpg:grpSp>
                      </wpg:grpSp>
                    </wpg:wgp>
                  </a:graphicData>
                </a:graphic>
              </wp:anchor>
            </w:drawing>
          </mc:Choice>
          <mc:Fallback>
            <w:pict>
              <v:group w14:anchorId="7D18998A" id="Group 543316014" o:spid="_x0000_s1026" style="position:absolute;margin-left:136.8pt;margin-top:36pt;width:271.9pt;height:125.05pt;z-index:251658240" coordorigin="36194,29859" coordsize="34530,1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">
                <v:group id="Group 1" o:spid="_x0000_s1027" style="position:absolute;left:36194;top:29859;width:34531;height:15881" coordsize="35538,16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35538;height:16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7BCB51EC" w14:textId="77777777" w:rsidR="00A90BFA" w:rsidRDefault="00A90BFA">
                          <w:pPr>
                            <w:spacing w:after="0" w:line="240" w:lineRule="auto"/>
                            <w:textDirection w:val="btLr"/>
                          </w:pPr>
                        </w:p>
                      </w:txbxContent>
                    </v:textbox>
                  </v:rect>
                  <v:group id="Group 3" o:spid="_x0000_s1029" style="position:absolute;width:35538;height:16251" coordsize="31705,13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0" style="position:absolute;width:31705;height:13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668A24B9" w14:textId="77777777" w:rsidR="00A90BFA" w:rsidRDefault="00A90BFA">
                            <w:pPr>
                              <w:spacing w:after="0" w:line="240" w:lineRule="auto"/>
                              <w:textDirection w:val="btLr"/>
                            </w:pPr>
                          </w:p>
                        </w:txbxContent>
                      </v:textbox>
                    </v:rect>
                    <v:shape id="Partial Circle 5" o:spid="_x0000_s1031" style="position:absolute;left:10226;top:704;width:11271;height:11270;visibility:visible;mso-wrap-style:square;v-text-anchor:middle" coordsize="1127074,11270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" adj="-11796480,,5400" path="m563537,v311233,,563537,252304,563537,563537l563537,563537,563537,xe" fillcolor="#176b22" strokecolor="white [3201]" strokeweight="1pt">
                      <v:fill opacity="58853f"/>
                      <v:stroke startarrowwidth="narrow" startarrowlength="short" endarrowwidth="narrow" endarrowlength="short" miterlimit="5243f" joinstyle="miter"/>
                      <v:formulas/>
                      <v:path arrowok="t" o:connecttype="custom" o:connectlocs="563537,0;1127074,563537;563537,563537;563537,0" o:connectangles="0,0,0,0" textboxrect="0,0,1127074,1127074"/>
                      <v:textbox inset="2.53958mm,2.53958mm,2.53958mm,2.53958mm">
                        <w:txbxContent>
                          <w:p w14:paraId="5F7C25E9" w14:textId="77777777" w:rsidR="00A90BFA" w:rsidRDefault="00A90BFA">
                            <w:pPr>
                              <w:spacing w:after="0" w:line="240" w:lineRule="auto"/>
                              <w:textDirection w:val="btLr"/>
                            </w:pPr>
                          </w:p>
                        </w:txbxContent>
                      </v:textbox>
                    </v:shape>
                    <v:rect id="Rectangle 6" o:spid="_x0000_s1032" style="position:absolute;left:16209;top:3040;width:4159;height:3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" filled="f" stroked="f">
                      <v:textbox inset="1pt,1pt,1pt,1pt">
                        <w:txbxContent>
                          <w:p w14:paraId="4EB77812" w14:textId="77777777" w:rsidR="00A90BFA" w:rsidRDefault="00000000">
                            <w:pPr>
                              <w:spacing w:after="0" w:line="215" w:lineRule="auto"/>
                              <w:jc w:val="center"/>
                              <w:textDirection w:val="btLr"/>
                            </w:pPr>
                            <w:r>
                              <w:rPr>
                                <w:rFonts w:ascii="Arial" w:eastAsia="Arial" w:hAnsi="Arial" w:cs="Arial"/>
                                <w:color w:val="000000"/>
                              </w:rPr>
                              <w:t>Assess</w:t>
                            </w:r>
                          </w:p>
                        </w:txbxContent>
                      </v:textbox>
                    </v:rect>
                    <v:shape id="Partial Circle 7" o:spid="_x0000_s1033" style="position:absolute;left:10226;top:1082;width:11271;height:11271;visibility:visible;mso-wrap-style:square;v-text-anchor:middle" coordsize="1127074,11270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" adj="-11796480,,5400" path="m1127074,563537v,311233,-252304,563537,-563537,563537l563537,563537r563537,xe" fillcolor="#176b22" strokecolor="white [3201]" strokeweight="1pt">
                      <v:fill opacity="50372f"/>
                      <v:stroke startarrowwidth="narrow" startarrowlength="short" endarrowwidth="narrow" endarrowlength="short" miterlimit="5243f" joinstyle="miter"/>
                      <v:formulas/>
                      <v:path arrowok="t" o:connecttype="custom" o:connectlocs="1127074,563537;563537,1127074;563537,563537;1127074,563537" o:connectangles="0,0,0,0" textboxrect="0,0,1127074,1127074"/>
                      <v:textbox inset="2.53958mm,2.53958mm,2.53958mm,2.53958mm">
                        <w:txbxContent>
                          <w:p w14:paraId="08200F8F" w14:textId="77777777" w:rsidR="00A90BFA" w:rsidRDefault="00A90BFA">
                            <w:pPr>
                              <w:spacing w:after="0" w:line="240" w:lineRule="auto"/>
                              <w:textDirection w:val="btLr"/>
                            </w:pPr>
                          </w:p>
                        </w:txbxContent>
                      </v:textbox>
                    </v:shape>
                    <v:rect id="Rectangle 8" o:spid="_x0000_s1034" style="position:absolute;left:16209;top:6931;width:4159;height:3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" filled="f" stroked="f">
                      <v:textbox inset="1pt,1pt,1pt,1pt">
                        <w:txbxContent>
                          <w:p w14:paraId="47B0085A" w14:textId="77777777" w:rsidR="00A90BFA" w:rsidRDefault="00000000">
                            <w:pPr>
                              <w:spacing w:after="0" w:line="215" w:lineRule="auto"/>
                              <w:jc w:val="center"/>
                              <w:textDirection w:val="btLr"/>
                            </w:pPr>
                            <w:r>
                              <w:rPr>
                                <w:rFonts w:ascii="Arial" w:eastAsia="Arial" w:hAnsi="Arial" w:cs="Arial"/>
                                <w:color w:val="000000"/>
                              </w:rPr>
                              <w:t>Plan</w:t>
                            </w:r>
                          </w:p>
                        </w:txbxContent>
                      </v:textbox>
                    </v:rect>
                    <v:shape id="Partial Circle 9" o:spid="_x0000_s1035" style="position:absolute;left:9848;top:1082;width:11270;height:11271;visibility:visible;mso-wrap-style:square;v-text-anchor:middle" coordsize="1127074,11270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" adj="-11796480,,5400" path="m563537,1127074c252304,1127074,,874770,,563537r563537,l563537,1127074xe" fillcolor="#176b22" strokecolor="white [3201]" strokeweight="1pt">
                      <v:fill opacity="41377f"/>
                      <v:stroke startarrowwidth="narrow" startarrowlength="short" endarrowwidth="narrow" endarrowlength="short" miterlimit="5243f" joinstyle="miter"/>
                      <v:formulas/>
                      <v:path arrowok="t" o:connecttype="custom" o:connectlocs="563537,1127074;0,563537;563537,563537;563537,1127074" o:connectangles="0,0,0,0" textboxrect="0,0,1127074,1127074"/>
                      <v:textbox inset="2.53958mm,2.53958mm,2.53958mm,2.53958mm">
                        <w:txbxContent>
                          <w:p w14:paraId="137DE07B" w14:textId="77777777" w:rsidR="00A90BFA" w:rsidRDefault="00A90BFA">
                            <w:pPr>
                              <w:spacing w:after="0" w:line="240" w:lineRule="auto"/>
                              <w:textDirection w:val="btLr"/>
                            </w:pPr>
                          </w:p>
                        </w:txbxContent>
                      </v:textbox>
                    </v:shape>
                    <v:rect id="Rectangle 10" o:spid="_x0000_s1036" style="position:absolute;left:10976;top:6931;width:4160;height:3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" filled="f" stroked="f">
                      <v:textbox inset="1pt,1pt,1pt,1pt">
                        <w:txbxContent>
                          <w:p w14:paraId="6FC2FAA7" w14:textId="77777777" w:rsidR="00A90BFA" w:rsidRDefault="00000000">
                            <w:pPr>
                              <w:spacing w:after="0" w:line="215" w:lineRule="auto"/>
                              <w:jc w:val="center"/>
                              <w:textDirection w:val="btLr"/>
                            </w:pPr>
                            <w:r>
                              <w:rPr>
                                <w:rFonts w:ascii="Arial" w:eastAsia="Arial" w:hAnsi="Arial" w:cs="Arial"/>
                                <w:color w:val="000000"/>
                              </w:rPr>
                              <w:t>Do</w:t>
                            </w:r>
                          </w:p>
                        </w:txbxContent>
                      </v:textbox>
                    </v:rect>
                    <v:shape id="Partial Circle 11" o:spid="_x0000_s1037" style="position:absolute;left:9848;top:704;width:11270;height:11270;visibility:visible;mso-wrap-style:square;v-text-anchor:middle" coordsize="1127074,11270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" adj="-11796480,,5400" path="m,563537c,252304,252304,,563537,r,563537l,563537xe" fillcolor="#176b22" strokecolor="white [3201]" strokeweight="1pt">
                      <v:fill opacity="32639f"/>
                      <v:stroke startarrowwidth="narrow" startarrowlength="short" endarrowwidth="narrow" endarrowlength="short" miterlimit="5243f" joinstyle="miter"/>
                      <v:formulas/>
                      <v:path arrowok="t" o:connecttype="custom" o:connectlocs="0,563537;563537,0;563537,563537;0,563537" o:connectangles="0,0,0,0" textboxrect="0,0,1127074,1127074"/>
                      <v:textbox inset="2.53958mm,2.53958mm,2.53958mm,2.53958mm">
                        <w:txbxContent>
                          <w:p w14:paraId="51E75EA9" w14:textId="77777777" w:rsidR="00A90BFA" w:rsidRDefault="00A90BFA">
                            <w:pPr>
                              <w:spacing w:after="0" w:line="240" w:lineRule="auto"/>
                              <w:textDirection w:val="btLr"/>
                            </w:pPr>
                          </w:p>
                        </w:txbxContent>
                      </v:textbox>
                    </v:shape>
                    <v:rect id="Rectangle 12" o:spid="_x0000_s1038" style="position:absolute;left:10976;top:3040;width:4160;height:3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" filled="f" stroked="f">
                      <v:textbox inset="1pt,1pt,1pt,1pt">
                        <w:txbxContent>
                          <w:p w14:paraId="638B9826" w14:textId="77777777" w:rsidR="00A90BFA" w:rsidRDefault="00000000">
                            <w:pPr>
                              <w:spacing w:after="0" w:line="215" w:lineRule="auto"/>
                              <w:jc w:val="center"/>
                              <w:textDirection w:val="btLr"/>
                            </w:pPr>
                            <w:r>
                              <w:rPr>
                                <w:rFonts w:ascii="Arial" w:eastAsia="Arial" w:hAnsi="Arial" w:cs="Arial"/>
                                <w:color w:val="000000"/>
                              </w:rPr>
                              <w:t>Review</w:t>
                            </w:r>
                          </w:p>
                        </w:txbxContent>
                      </v:textbox>
                    </v:rect>
                    <v:shape id="Free-form: Shape 13" o:spid="_x0000_s1039" style="position:absolute;left:9528;top:6;width:12667;height:12666;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" adj="-11796480,,5400" path="m60000,3764v29094,,53330,22426,55740,51577l119798,55341r-6916,4659l105562,55341r4057,c107248,29318,85743,9411,60000,9411r,-5647xe" fillcolor="#156420" stroked="f">
                      <v:stroke joinstyle="miter"/>
                      <v:formulas/>
                      <v:path arrowok="t" o:extrusionok="f" o:connecttype="custom" textboxrect="0,0,120000,120000"/>
                      <v:textbox inset="2.53958mm,2.53958mm,2.53958mm,2.53958mm">
                        <w:txbxContent>
                          <w:p w14:paraId="538CA923" w14:textId="77777777" w:rsidR="00A90BFA" w:rsidRDefault="00A90BFA">
                            <w:pPr>
                              <w:spacing w:after="0" w:line="240" w:lineRule="auto"/>
                              <w:textDirection w:val="btLr"/>
                            </w:pPr>
                          </w:p>
                        </w:txbxContent>
                      </v:textbox>
                    </v:shape>
                    <v:shape id="Free-form: Shape 14" o:spid="_x0000_s1040" style="position:absolute;left:9528;top:384;width:12667;height:12667;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" adj="-11796480,,5400" path="m115933,60000v,28922,-21820,53128,-50447,55965l65486,119712r-5486,-6300l65486,106536r,3745c90729,107443,109831,85784,109831,60000r6102,xe" fillcolor="#389844" stroked="f">
                      <v:stroke joinstyle="miter"/>
                      <v:formulas/>
                      <v:path arrowok="t" o:extrusionok="f" o:connecttype="custom" textboxrect="0,0,120000,120000"/>
                      <v:textbox inset="2.53958mm,2.53958mm,2.53958mm,2.53958mm">
                        <w:txbxContent>
                          <w:p w14:paraId="287D8DA4" w14:textId="77777777" w:rsidR="00A90BFA" w:rsidRDefault="00A90BFA">
                            <w:pPr>
                              <w:spacing w:after="0" w:line="240" w:lineRule="auto"/>
                              <w:textDirection w:val="btLr"/>
                            </w:pPr>
                          </w:p>
                        </w:txbxContent>
                      </v:textbox>
                    </v:shape>
                    <v:shape id="Free-form: Shape 15" o:spid="_x0000_s1041" style="position:absolute;left:9150;top:384;width:12666;height:12667;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" adj="-11796480,,5400" path="m60000,116236c30906,116236,6670,93810,4260,64659r-4058,l7118,60000r7320,4659l10381,64659v2371,26023,23876,45930,49619,45930l60000,116236xe" fillcolor="#76b27c" stroked="f">
                      <v:stroke joinstyle="miter"/>
                      <v:formulas/>
                      <v:path arrowok="t" o:extrusionok="f" o:connecttype="custom" textboxrect="0,0,120000,120000"/>
                      <v:textbox inset="2.53958mm,2.53958mm,2.53958mm,2.53958mm">
                        <w:txbxContent>
                          <w:p w14:paraId="315A0D88" w14:textId="77777777" w:rsidR="00A90BFA" w:rsidRDefault="00A90BFA">
                            <w:pPr>
                              <w:spacing w:after="0" w:line="240" w:lineRule="auto"/>
                              <w:textDirection w:val="btLr"/>
                            </w:pPr>
                          </w:p>
                        </w:txbxContent>
                      </v:textbox>
                    </v:shape>
                    <v:shape id="Free-form: Shape 16" o:spid="_x0000_s1042" style="position:absolute;left:9150;top:6;width:12666;height:12666;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" adj="-11796480,,5400" path="m4067,60000c4067,31078,25887,6872,54514,4035r,-3747l60000,6588r-5486,6876l54514,9719c29271,12557,10169,34216,10169,60000r-6102,xe" fillcolor="#bac6bb" stroked="f">
                      <v:stroke joinstyle="miter"/>
                      <v:formulas/>
                      <v:path arrowok="t" o:extrusionok="f" o:connecttype="custom" textboxrect="0,0,120000,120000"/>
                      <v:textbox inset="2.53958mm,2.53958mm,2.53958mm,2.53958mm">
                        <w:txbxContent>
                          <w:p w14:paraId="518E79B3" w14:textId="77777777" w:rsidR="00A90BFA" w:rsidRDefault="00A90BFA">
                            <w:pPr>
                              <w:spacing w:after="0" w:line="240" w:lineRule="auto"/>
                              <w:textDirection w:val="btLr"/>
                            </w:pPr>
                          </w:p>
                        </w:txbxContent>
                      </v:textbox>
                    </v:shape>
                  </v:group>
                </v:group>
                <w10:wrap type="square"/>
              </v:group>
            </w:pict>
          </mc:Fallback>
        </mc:AlternateContent>
      </w:r>
    </w:p>
    <w:p w14:paraId="500B0D82" w14:textId="77777777" w:rsidR="00A90BFA" w:rsidRDefault="00A90BFA">
      <w:pPr>
        <w:rPr>
          <w:rFonts w:ascii="Calibri" w:eastAsia="Calibri" w:hAnsi="Calibri" w:cs="Calibri"/>
          <w:sz w:val="24"/>
          <w:szCs w:val="24"/>
        </w:rPr>
      </w:pPr>
    </w:p>
    <w:p w14:paraId="53120B4B" w14:textId="77777777" w:rsidR="00A90BFA" w:rsidRDefault="00A90BFA">
      <w:pPr>
        <w:rPr>
          <w:rFonts w:ascii="Calibri" w:eastAsia="Calibri" w:hAnsi="Calibri" w:cs="Calibri"/>
          <w:sz w:val="24"/>
          <w:szCs w:val="24"/>
        </w:rPr>
      </w:pPr>
    </w:p>
    <w:p w14:paraId="764818A1" w14:textId="77777777" w:rsidR="00A90BFA" w:rsidRDefault="00A90BFA">
      <w:pPr>
        <w:rPr>
          <w:rFonts w:ascii="Calibri" w:eastAsia="Calibri" w:hAnsi="Calibri" w:cs="Calibri"/>
          <w:sz w:val="24"/>
          <w:szCs w:val="24"/>
        </w:rPr>
      </w:pPr>
    </w:p>
    <w:p w14:paraId="46E5D744" w14:textId="77777777" w:rsidR="00A90BFA" w:rsidRDefault="00A90BFA">
      <w:pPr>
        <w:rPr>
          <w:rFonts w:ascii="Calibri" w:eastAsia="Calibri" w:hAnsi="Calibri" w:cs="Calibri"/>
          <w:sz w:val="24"/>
          <w:szCs w:val="24"/>
        </w:rPr>
      </w:pPr>
    </w:p>
    <w:p w14:paraId="7A80326D" w14:textId="77777777" w:rsidR="00A90BFA" w:rsidRDefault="00A90BFA">
      <w:pPr>
        <w:rPr>
          <w:rFonts w:ascii="Calibri" w:eastAsia="Calibri" w:hAnsi="Calibri" w:cs="Calibri"/>
          <w:sz w:val="24"/>
          <w:szCs w:val="24"/>
        </w:rPr>
      </w:pPr>
    </w:p>
    <w:p w14:paraId="231B80ED" w14:textId="77777777" w:rsidR="00A90BFA" w:rsidRDefault="00A90BFA">
      <w:pPr>
        <w:rPr>
          <w:rFonts w:ascii="Calibri" w:eastAsia="Calibri" w:hAnsi="Calibri" w:cs="Calibri"/>
          <w:sz w:val="24"/>
          <w:szCs w:val="24"/>
        </w:rPr>
      </w:pPr>
    </w:p>
    <w:p w14:paraId="712DCB5A" w14:textId="77777777" w:rsidR="00A90BFA" w:rsidRDefault="00000000">
      <w:pPr>
        <w:rPr>
          <w:rFonts w:ascii="Calibri" w:eastAsia="Calibri" w:hAnsi="Calibri" w:cs="Calibri"/>
          <w:color w:val="12501A"/>
          <w:sz w:val="24"/>
          <w:szCs w:val="24"/>
        </w:rPr>
      </w:pPr>
      <w:r>
        <w:rPr>
          <w:rFonts w:ascii="Calibri" w:eastAsia="Calibri" w:hAnsi="Calibri" w:cs="Calibri"/>
          <w:color w:val="12501A"/>
          <w:sz w:val="24"/>
          <w:szCs w:val="24"/>
        </w:rPr>
        <w:t>Assess:</w:t>
      </w:r>
    </w:p>
    <w:p w14:paraId="04DF31F0" w14:textId="77777777" w:rsidR="00A90BFA" w:rsidRDefault="00000000">
      <w:pPr>
        <w:spacing w:line="240" w:lineRule="auto"/>
        <w:rPr>
          <w:rFonts w:ascii="Calibri" w:eastAsia="Calibri" w:hAnsi="Calibri" w:cs="Calibri"/>
          <w:sz w:val="24"/>
          <w:szCs w:val="24"/>
        </w:rPr>
      </w:pPr>
      <w:r>
        <w:rPr>
          <w:rFonts w:ascii="Calibri" w:eastAsia="Calibri" w:hAnsi="Calibri" w:cs="Calibri"/>
          <w:sz w:val="24"/>
          <w:szCs w:val="24"/>
        </w:rPr>
        <w:t>There are several points to ‘assess’ whether a student has SEND.</w:t>
      </w:r>
    </w:p>
    <w:p w14:paraId="018B6995" w14:textId="77777777" w:rsidR="00A90BFA" w:rsidRDefault="00000000">
      <w:pPr>
        <w:pStyle w:val="Heading1"/>
        <w:spacing w:before="0" w:after="120"/>
        <w:rPr>
          <w:rFonts w:ascii="Calibri" w:eastAsia="Calibri" w:hAnsi="Calibri" w:cs="Calibri"/>
          <w:color w:val="000000"/>
          <w:sz w:val="24"/>
          <w:szCs w:val="24"/>
        </w:rPr>
      </w:pPr>
      <w:r>
        <w:rPr>
          <w:rFonts w:ascii="Calibri" w:eastAsia="Calibri" w:hAnsi="Calibri" w:cs="Calibri"/>
          <w:color w:val="000000"/>
          <w:sz w:val="24"/>
          <w:szCs w:val="24"/>
        </w:rPr>
        <w:t>Transition to secondary school:</w:t>
      </w:r>
    </w:p>
    <w:p w14:paraId="5C5E1EBE" w14:textId="77777777" w:rsidR="00A90BFA" w:rsidRDefault="00000000">
      <w:pPr>
        <w:numPr>
          <w:ilvl w:val="0"/>
          <w:numId w:val="7"/>
        </w:numPr>
        <w:pBdr>
          <w:top w:val="nil"/>
          <w:left w:val="nil"/>
          <w:bottom w:val="nil"/>
          <w:right w:val="nil"/>
          <w:between w:val="nil"/>
        </w:pBdr>
        <w:spacing w:after="0"/>
      </w:pPr>
      <w:r>
        <w:rPr>
          <w:rFonts w:ascii="Calibri" w:eastAsia="Calibri" w:hAnsi="Calibri" w:cs="Calibri"/>
          <w:color w:val="000000"/>
          <w:sz w:val="24"/>
          <w:szCs w:val="24"/>
        </w:rPr>
        <w:t>Information gathered from the previous school; the year 6 SENDCo and teacher during the phase transfer; or the previous school’s SENDCo if it is an in-year transfer.</w:t>
      </w:r>
    </w:p>
    <w:p w14:paraId="21CE3FE9" w14:textId="77777777" w:rsidR="00A90BFA" w:rsidRDefault="00000000">
      <w:pPr>
        <w:numPr>
          <w:ilvl w:val="0"/>
          <w:numId w:val="7"/>
        </w:numPr>
        <w:pBdr>
          <w:top w:val="nil"/>
          <w:left w:val="nil"/>
          <w:bottom w:val="nil"/>
          <w:right w:val="nil"/>
          <w:between w:val="nil"/>
        </w:pBdr>
      </w:pPr>
      <w:r>
        <w:rPr>
          <w:rFonts w:ascii="Calibri" w:eastAsia="Calibri" w:hAnsi="Calibri" w:cs="Calibri"/>
          <w:color w:val="000000"/>
          <w:sz w:val="24"/>
          <w:szCs w:val="24"/>
        </w:rPr>
        <w:t>Transition visits often take place prior to a start date. This is always a good opportunity to discuss any concerns the student has, and gather feedback from parents/carers about any concerns you have.</w:t>
      </w:r>
    </w:p>
    <w:p w14:paraId="00768745" w14:textId="77777777" w:rsidR="00A90BFA" w:rsidRDefault="00000000">
      <w:pPr>
        <w:pStyle w:val="Heading1"/>
        <w:spacing w:before="0" w:after="120"/>
        <w:rPr>
          <w:rFonts w:ascii="Calibri" w:eastAsia="Calibri" w:hAnsi="Calibri" w:cs="Calibri"/>
          <w:color w:val="000000"/>
          <w:sz w:val="24"/>
          <w:szCs w:val="24"/>
        </w:rPr>
      </w:pPr>
      <w:r>
        <w:rPr>
          <w:rFonts w:ascii="Calibri" w:eastAsia="Calibri" w:hAnsi="Calibri" w:cs="Calibri"/>
          <w:color w:val="000000"/>
          <w:sz w:val="24"/>
          <w:szCs w:val="24"/>
        </w:rPr>
        <w:t>In-year Transfer:</w:t>
      </w:r>
    </w:p>
    <w:p w14:paraId="5E300954" w14:textId="77777777" w:rsidR="00A90BFA" w:rsidRDefault="00000000">
      <w:pPr>
        <w:numPr>
          <w:ilvl w:val="0"/>
          <w:numId w:val="7"/>
        </w:numPr>
        <w:pBdr>
          <w:top w:val="nil"/>
          <w:left w:val="nil"/>
          <w:bottom w:val="nil"/>
          <w:right w:val="nil"/>
          <w:between w:val="nil"/>
        </w:pBdr>
        <w:spacing w:after="0"/>
      </w:pPr>
      <w:r>
        <w:rPr>
          <w:rFonts w:ascii="Calibri" w:eastAsia="Calibri" w:hAnsi="Calibri" w:cs="Calibri"/>
          <w:color w:val="000000"/>
          <w:sz w:val="24"/>
          <w:szCs w:val="24"/>
        </w:rPr>
        <w:t>Information gathered from the previous school, SEND identification or historical concerns, assessment data, teacher feedback, and any support provided by external agencies.</w:t>
      </w:r>
    </w:p>
    <w:p w14:paraId="73E2BC3F" w14:textId="77777777" w:rsidR="00A90BFA" w:rsidRDefault="00000000">
      <w:pPr>
        <w:numPr>
          <w:ilvl w:val="0"/>
          <w:numId w:val="7"/>
        </w:numPr>
        <w:pBdr>
          <w:top w:val="nil"/>
          <w:left w:val="nil"/>
          <w:bottom w:val="nil"/>
          <w:right w:val="nil"/>
          <w:between w:val="nil"/>
        </w:pBdr>
        <w:spacing w:after="0"/>
      </w:pPr>
      <w:r>
        <w:rPr>
          <w:rFonts w:ascii="Calibri" w:eastAsia="Calibri" w:hAnsi="Calibri" w:cs="Calibri"/>
          <w:color w:val="000000"/>
          <w:sz w:val="24"/>
          <w:szCs w:val="24"/>
        </w:rPr>
        <w:t>Meeting the student and parents/carers in the early stages of transition can give reassurance, as well as a better understanding of what the student may need.</w:t>
      </w:r>
    </w:p>
    <w:p w14:paraId="5C5CB54C" w14:textId="77777777" w:rsidR="00A90BFA" w:rsidRDefault="00000000">
      <w:pPr>
        <w:numPr>
          <w:ilvl w:val="0"/>
          <w:numId w:val="7"/>
        </w:numPr>
        <w:pBdr>
          <w:top w:val="nil"/>
          <w:left w:val="nil"/>
          <w:bottom w:val="nil"/>
          <w:right w:val="nil"/>
          <w:between w:val="nil"/>
        </w:pBdr>
      </w:pPr>
      <w:r>
        <w:rPr>
          <w:rFonts w:ascii="Calibri" w:eastAsia="Calibri" w:hAnsi="Calibri" w:cs="Calibri"/>
          <w:color w:val="000000"/>
          <w:sz w:val="24"/>
          <w:szCs w:val="24"/>
        </w:rPr>
        <w:t>Baseline assessments once the student has settled into their new school will provide further information.</w:t>
      </w:r>
    </w:p>
    <w:p w14:paraId="6BA3FA8D" w14:textId="77777777" w:rsidR="00A90BFA" w:rsidRDefault="00000000">
      <w:pPr>
        <w:pStyle w:val="Heading1"/>
        <w:spacing w:before="0" w:after="120"/>
        <w:rPr>
          <w:rFonts w:ascii="Calibri" w:eastAsia="Calibri" w:hAnsi="Calibri" w:cs="Calibri"/>
          <w:color w:val="000000"/>
          <w:sz w:val="24"/>
          <w:szCs w:val="24"/>
        </w:rPr>
      </w:pPr>
      <w:r>
        <w:rPr>
          <w:rFonts w:ascii="Calibri" w:eastAsia="Calibri" w:hAnsi="Calibri" w:cs="Calibri"/>
          <w:color w:val="000000"/>
          <w:sz w:val="24"/>
          <w:szCs w:val="24"/>
        </w:rPr>
        <w:t>Data analysis:</w:t>
      </w:r>
    </w:p>
    <w:p w14:paraId="0CCFDA2D" w14:textId="77777777" w:rsidR="00A90BFA" w:rsidRDefault="00000000">
      <w:pPr>
        <w:numPr>
          <w:ilvl w:val="0"/>
          <w:numId w:val="7"/>
        </w:numPr>
        <w:pBdr>
          <w:top w:val="nil"/>
          <w:left w:val="nil"/>
          <w:bottom w:val="nil"/>
          <w:right w:val="nil"/>
          <w:between w:val="nil"/>
        </w:pBdr>
        <w:spacing w:after="0"/>
      </w:pPr>
      <w:r>
        <w:rPr>
          <w:rFonts w:ascii="Calibri" w:eastAsia="Calibri" w:hAnsi="Calibri" w:cs="Calibri"/>
          <w:color w:val="000000"/>
          <w:sz w:val="24"/>
          <w:szCs w:val="24"/>
        </w:rPr>
        <w:t>Once a student is identified as having SEND or historical SEND, their assessment data is analysed by the curriculum teams and the SENDCo.  This ensures any decline or lack of progress is swiftly identified and their support reviewed.</w:t>
      </w:r>
    </w:p>
    <w:p w14:paraId="1CF1BA01" w14:textId="77777777" w:rsidR="00A90BFA" w:rsidRDefault="00000000">
      <w:pPr>
        <w:numPr>
          <w:ilvl w:val="0"/>
          <w:numId w:val="7"/>
        </w:numPr>
        <w:pBdr>
          <w:top w:val="nil"/>
          <w:left w:val="nil"/>
          <w:bottom w:val="nil"/>
          <w:right w:val="nil"/>
          <w:between w:val="nil"/>
        </w:pBdr>
        <w:spacing w:after="0"/>
      </w:pPr>
      <w:r>
        <w:rPr>
          <w:rFonts w:ascii="Calibri" w:eastAsia="Calibri" w:hAnsi="Calibri" w:cs="Calibri"/>
          <w:color w:val="000000"/>
          <w:sz w:val="24"/>
          <w:szCs w:val="24"/>
        </w:rPr>
        <w:t>Curriculum teams liaise with the SEND team on specific topics, approaches, as well as students who are raising questions or concerns within their analysis.  Support is put in place with the class teacher to aid the students in the classroom.   In some cases, direct work is completed by the SEND team and the student to see if more specific or specialist support is needed.</w:t>
      </w:r>
    </w:p>
    <w:p w14:paraId="0079810C" w14:textId="77777777" w:rsidR="00A90BFA" w:rsidRDefault="00000000">
      <w:pPr>
        <w:numPr>
          <w:ilvl w:val="0"/>
          <w:numId w:val="7"/>
        </w:numPr>
        <w:pBdr>
          <w:top w:val="nil"/>
          <w:left w:val="nil"/>
          <w:bottom w:val="nil"/>
          <w:right w:val="nil"/>
          <w:between w:val="nil"/>
        </w:pBdr>
        <w:spacing w:after="0"/>
      </w:pPr>
      <w:r>
        <w:rPr>
          <w:rFonts w:ascii="Calibri" w:eastAsia="Calibri" w:hAnsi="Calibri" w:cs="Calibri"/>
          <w:color w:val="000000"/>
          <w:sz w:val="24"/>
          <w:szCs w:val="24"/>
        </w:rPr>
        <w:t>Observations and feedback from class teachers is also a crucial part of referring concerns or questions to the SEND teams.  The SEND team have an open-door policy for all members of staff.</w:t>
      </w:r>
    </w:p>
    <w:p w14:paraId="5058642D" w14:textId="77777777" w:rsidR="00A90BFA" w:rsidRDefault="00000000">
      <w:pPr>
        <w:numPr>
          <w:ilvl w:val="0"/>
          <w:numId w:val="7"/>
        </w:numPr>
        <w:pBdr>
          <w:top w:val="nil"/>
          <w:left w:val="nil"/>
          <w:bottom w:val="nil"/>
          <w:right w:val="nil"/>
          <w:between w:val="nil"/>
        </w:pBdr>
      </w:pPr>
      <w:r>
        <w:rPr>
          <w:rFonts w:ascii="Calibri" w:eastAsia="Calibri" w:hAnsi="Calibri" w:cs="Calibri"/>
          <w:color w:val="000000"/>
          <w:sz w:val="24"/>
          <w:szCs w:val="24"/>
        </w:rPr>
        <w:t>Pastoral data analysis:</w:t>
      </w:r>
    </w:p>
    <w:p w14:paraId="6A0802BD" w14:textId="77777777" w:rsidR="00A90BFA" w:rsidRDefault="00000000">
      <w:pPr>
        <w:numPr>
          <w:ilvl w:val="1"/>
          <w:numId w:val="7"/>
        </w:numPr>
        <w:pBdr>
          <w:top w:val="nil"/>
          <w:left w:val="nil"/>
          <w:bottom w:val="nil"/>
          <w:right w:val="nil"/>
          <w:between w:val="nil"/>
        </w:pBdr>
        <w:rPr>
          <w:color w:val="000000"/>
          <w:sz w:val="24"/>
          <w:szCs w:val="24"/>
        </w:rPr>
      </w:pPr>
      <w:r>
        <w:rPr>
          <w:rFonts w:ascii="Calibri" w:eastAsia="Calibri" w:hAnsi="Calibri" w:cs="Calibri"/>
          <w:color w:val="000000"/>
          <w:sz w:val="24"/>
          <w:szCs w:val="24"/>
        </w:rPr>
        <w:t>As with curriculum teams, the Pastoral team analyse attendance and behaviour data to identify any emerging trends or decline with student’s engagement.  This can be an indicator of a student struggling with the curriculum or the school environment.  As with the curriculum teams, discussions are held with the SEND team to identify if further, direct support is needed and who is best placed to provide it; in some cases, a member of the pastoral team may have already built a relationship with the student and so they may lead on the intervention, supported by the specialist knowledge and resources of the SEND team.</w:t>
      </w:r>
    </w:p>
    <w:p w14:paraId="505E03A5" w14:textId="77777777" w:rsidR="00A90BFA" w:rsidRDefault="00000000">
      <w:pPr>
        <w:pStyle w:val="Heading1"/>
        <w:spacing w:before="0" w:after="120"/>
        <w:rPr>
          <w:rFonts w:ascii="Calibri" w:eastAsia="Calibri" w:hAnsi="Calibri" w:cs="Calibri"/>
          <w:color w:val="000000"/>
          <w:sz w:val="24"/>
          <w:szCs w:val="24"/>
        </w:rPr>
      </w:pPr>
      <w:r>
        <w:rPr>
          <w:rFonts w:ascii="Calibri" w:eastAsia="Calibri" w:hAnsi="Calibri" w:cs="Calibri"/>
          <w:color w:val="000000"/>
          <w:sz w:val="24"/>
          <w:szCs w:val="24"/>
        </w:rPr>
        <w:lastRenderedPageBreak/>
        <w:t>Referrals:</w:t>
      </w:r>
    </w:p>
    <w:p w14:paraId="41BEBBDD" w14:textId="77777777" w:rsidR="00A90BFA" w:rsidRDefault="00000000">
      <w:pPr>
        <w:numPr>
          <w:ilvl w:val="0"/>
          <w:numId w:val="7"/>
        </w:numPr>
        <w:pBdr>
          <w:top w:val="nil"/>
          <w:left w:val="nil"/>
          <w:bottom w:val="nil"/>
          <w:right w:val="nil"/>
          <w:between w:val="nil"/>
        </w:pBdr>
        <w:spacing w:after="0"/>
      </w:pPr>
      <w:r>
        <w:rPr>
          <w:rFonts w:ascii="Calibri" w:eastAsia="Calibri" w:hAnsi="Calibri" w:cs="Calibri"/>
          <w:color w:val="000000"/>
          <w:sz w:val="24"/>
          <w:szCs w:val="24"/>
        </w:rPr>
        <w:t xml:space="preserve">As curriculum and pastoral teams can refer a student for further investigation, so too can the student themselves.  Students can access the SEND team in school to ask advice, guidance, or questions about anything they are struggling with.  These informal conversations often occur in lesson with a </w:t>
      </w:r>
      <w:r>
        <w:rPr>
          <w:rFonts w:ascii="Calibri" w:eastAsia="Calibri" w:hAnsi="Calibri" w:cs="Calibri"/>
          <w:sz w:val="24"/>
          <w:szCs w:val="24"/>
        </w:rPr>
        <w:t>Teaching Assistant</w:t>
      </w:r>
      <w:r>
        <w:rPr>
          <w:rFonts w:ascii="Calibri" w:eastAsia="Calibri" w:hAnsi="Calibri" w:cs="Calibri"/>
          <w:color w:val="000000"/>
          <w:sz w:val="24"/>
          <w:szCs w:val="24"/>
        </w:rPr>
        <w:t xml:space="preserve"> or by popping into the SEND department.  Parents/carers are also able to speak with the tutor or SENDCo if they have questions or concerns.</w:t>
      </w:r>
    </w:p>
    <w:p w14:paraId="4D39EED7" w14:textId="77777777" w:rsidR="00A90BFA" w:rsidRDefault="00000000">
      <w:pPr>
        <w:numPr>
          <w:ilvl w:val="0"/>
          <w:numId w:val="7"/>
        </w:numPr>
        <w:pBdr>
          <w:top w:val="nil"/>
          <w:left w:val="nil"/>
          <w:bottom w:val="nil"/>
          <w:right w:val="nil"/>
          <w:between w:val="nil"/>
        </w:pBdr>
      </w:pPr>
      <w:r>
        <w:rPr>
          <w:rFonts w:ascii="Calibri" w:eastAsia="Calibri" w:hAnsi="Calibri" w:cs="Calibri"/>
          <w:color w:val="000000"/>
          <w:sz w:val="24"/>
          <w:szCs w:val="24"/>
        </w:rPr>
        <w:t xml:space="preserve">All referrals are discussed with the student, and information is sent home so that you are aware that the SEND team will be working directly with the student. </w:t>
      </w:r>
    </w:p>
    <w:p w14:paraId="428C9AFA" w14:textId="77777777" w:rsidR="00A90BFA" w:rsidRDefault="00000000">
      <w:pPr>
        <w:pStyle w:val="Heading1"/>
        <w:spacing w:before="0" w:after="120"/>
        <w:rPr>
          <w:rFonts w:ascii="Calibri" w:eastAsia="Calibri" w:hAnsi="Calibri" w:cs="Calibri"/>
          <w:color w:val="000000"/>
          <w:sz w:val="24"/>
          <w:szCs w:val="24"/>
        </w:rPr>
      </w:pPr>
      <w:r>
        <w:rPr>
          <w:rFonts w:ascii="Calibri" w:eastAsia="Calibri" w:hAnsi="Calibri" w:cs="Calibri"/>
          <w:color w:val="000000"/>
          <w:sz w:val="24"/>
          <w:szCs w:val="24"/>
        </w:rPr>
        <w:t>Informal and Formal Access Arrangement Assessment:</w:t>
      </w:r>
    </w:p>
    <w:p w14:paraId="27223FBD" w14:textId="77777777" w:rsidR="00A90BFA" w:rsidRDefault="00000000">
      <w:pPr>
        <w:numPr>
          <w:ilvl w:val="0"/>
          <w:numId w:val="7"/>
        </w:numPr>
        <w:pBdr>
          <w:top w:val="nil"/>
          <w:left w:val="nil"/>
          <w:bottom w:val="nil"/>
          <w:right w:val="nil"/>
          <w:between w:val="nil"/>
        </w:pBdr>
        <w:spacing w:after="0"/>
      </w:pPr>
      <w:r>
        <w:rPr>
          <w:rFonts w:ascii="Calibri" w:eastAsia="Calibri" w:hAnsi="Calibri" w:cs="Calibri"/>
          <w:color w:val="000000"/>
          <w:sz w:val="24"/>
          <w:szCs w:val="24"/>
        </w:rPr>
        <w:t xml:space="preserve">Students are assessed at regular intervals to see if they require access arrangements for assessments.  This information is gathered over time, with the aim that students are more heavily supported in the early stages of assessments, and by the first set of public exams in KS4, they are more independent and able to access them with minimal </w:t>
      </w:r>
      <w:proofErr w:type="gramStart"/>
      <w:r>
        <w:rPr>
          <w:rFonts w:ascii="Calibri" w:eastAsia="Calibri" w:hAnsi="Calibri" w:cs="Calibri"/>
          <w:color w:val="000000"/>
          <w:sz w:val="24"/>
          <w:szCs w:val="24"/>
        </w:rPr>
        <w:t>third party</w:t>
      </w:r>
      <w:proofErr w:type="gramEnd"/>
      <w:r>
        <w:rPr>
          <w:rFonts w:ascii="Calibri" w:eastAsia="Calibri" w:hAnsi="Calibri" w:cs="Calibri"/>
          <w:color w:val="000000"/>
          <w:sz w:val="24"/>
          <w:szCs w:val="24"/>
        </w:rPr>
        <w:t xml:space="preserve"> intervention.</w:t>
      </w:r>
    </w:p>
    <w:p w14:paraId="67F4041C" w14:textId="77777777" w:rsidR="00A90BFA" w:rsidRDefault="00000000">
      <w:pPr>
        <w:numPr>
          <w:ilvl w:val="0"/>
          <w:numId w:val="7"/>
        </w:numPr>
        <w:pBdr>
          <w:top w:val="nil"/>
          <w:left w:val="nil"/>
          <w:bottom w:val="nil"/>
          <w:right w:val="nil"/>
          <w:between w:val="nil"/>
        </w:pBdr>
        <w:spacing w:after="0"/>
      </w:pPr>
      <w:r>
        <w:rPr>
          <w:rFonts w:ascii="Calibri" w:eastAsia="Calibri" w:hAnsi="Calibri" w:cs="Calibri"/>
          <w:color w:val="000000"/>
          <w:sz w:val="24"/>
          <w:szCs w:val="24"/>
        </w:rPr>
        <w:t>Baseline assessments are completed without arrangements as these act as a starting point to identify the barriers.  Other assessments are completed with the agreed arrangements.</w:t>
      </w:r>
    </w:p>
    <w:p w14:paraId="174E86D5" w14:textId="77777777" w:rsidR="00A90BFA" w:rsidRDefault="00000000">
      <w:pPr>
        <w:numPr>
          <w:ilvl w:val="0"/>
          <w:numId w:val="7"/>
        </w:numPr>
        <w:pBdr>
          <w:top w:val="nil"/>
          <w:left w:val="nil"/>
          <w:bottom w:val="nil"/>
          <w:right w:val="nil"/>
          <w:between w:val="nil"/>
        </w:pBdr>
        <w:sectPr w:rsidR="00A90BFA">
          <w:type w:val="continuous"/>
          <w:pgSz w:w="11906" w:h="16838"/>
          <w:pgMar w:top="720" w:right="720" w:bottom="720" w:left="720" w:header="708" w:footer="708" w:gutter="0"/>
          <w:cols w:space="720"/>
        </w:sectPr>
      </w:pPr>
      <w:r>
        <w:rPr>
          <w:rFonts w:ascii="Calibri" w:eastAsia="Calibri" w:hAnsi="Calibri" w:cs="Calibri"/>
          <w:color w:val="000000"/>
          <w:sz w:val="24"/>
          <w:szCs w:val="24"/>
        </w:rPr>
        <w:t>Formal applications are made to the Joint Council for Qualifications (JCQ) and other awarding bodies in preparation for the public exams in KS4.</w:t>
      </w:r>
    </w:p>
    <w:p w14:paraId="3A9758FE" w14:textId="77777777" w:rsidR="00A90BFA" w:rsidRDefault="00000000">
      <w:pPr>
        <w:rPr>
          <w:rFonts w:ascii="Calibri" w:eastAsia="Calibri" w:hAnsi="Calibri" w:cs="Calibri"/>
          <w:color w:val="12501A"/>
          <w:sz w:val="24"/>
          <w:szCs w:val="24"/>
        </w:rPr>
      </w:pPr>
      <w:r>
        <w:rPr>
          <w:rFonts w:ascii="Calibri" w:eastAsia="Calibri" w:hAnsi="Calibri" w:cs="Calibri"/>
          <w:color w:val="12501A"/>
          <w:sz w:val="24"/>
          <w:szCs w:val="24"/>
        </w:rPr>
        <w:t>Plan:</w:t>
      </w:r>
    </w:p>
    <w:p w14:paraId="5B3DEA47" w14:textId="77777777" w:rsidR="00A90BFA"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Information is shared between the student, parents/carers, curriculum teams and pastoral teams.  </w:t>
      </w:r>
    </w:p>
    <w:p w14:paraId="7151961C" w14:textId="77777777" w:rsidR="00A90BFA" w:rsidRDefault="00000000">
      <w:pPr>
        <w:pStyle w:val="Heading1"/>
        <w:spacing w:before="0" w:after="120"/>
        <w:rPr>
          <w:rFonts w:ascii="Calibri" w:eastAsia="Calibri" w:hAnsi="Calibri" w:cs="Calibri"/>
          <w:color w:val="000000"/>
          <w:sz w:val="24"/>
          <w:szCs w:val="24"/>
        </w:rPr>
      </w:pPr>
      <w:r>
        <w:rPr>
          <w:rFonts w:ascii="Calibri" w:eastAsia="Calibri" w:hAnsi="Calibri" w:cs="Calibri"/>
          <w:color w:val="000000"/>
          <w:sz w:val="24"/>
          <w:szCs w:val="24"/>
        </w:rPr>
        <w:t>This includes:</w:t>
      </w:r>
    </w:p>
    <w:p w14:paraId="61F894B9" w14:textId="77777777" w:rsidR="00A90BFA" w:rsidRDefault="00000000">
      <w:pPr>
        <w:numPr>
          <w:ilvl w:val="0"/>
          <w:numId w:val="7"/>
        </w:numPr>
        <w:pBdr>
          <w:top w:val="nil"/>
          <w:left w:val="nil"/>
          <w:bottom w:val="nil"/>
          <w:right w:val="nil"/>
          <w:between w:val="nil"/>
        </w:pBdr>
        <w:spacing w:after="0"/>
      </w:pPr>
      <w:r>
        <w:rPr>
          <w:rFonts w:ascii="Calibri" w:eastAsia="Calibri" w:hAnsi="Calibri" w:cs="Calibri"/>
          <w:color w:val="000000"/>
          <w:sz w:val="24"/>
          <w:szCs w:val="24"/>
        </w:rPr>
        <w:t>Identified barriers to learning,</w:t>
      </w:r>
    </w:p>
    <w:p w14:paraId="186E746C" w14:textId="77777777" w:rsidR="00A90BFA" w:rsidRDefault="00000000">
      <w:pPr>
        <w:numPr>
          <w:ilvl w:val="0"/>
          <w:numId w:val="7"/>
        </w:numPr>
        <w:pBdr>
          <w:top w:val="nil"/>
          <w:left w:val="nil"/>
          <w:bottom w:val="nil"/>
          <w:right w:val="nil"/>
          <w:between w:val="nil"/>
        </w:pBdr>
        <w:spacing w:after="0"/>
      </w:pPr>
      <w:r>
        <w:rPr>
          <w:rFonts w:ascii="Calibri" w:eastAsia="Calibri" w:hAnsi="Calibri" w:cs="Calibri"/>
          <w:color w:val="000000"/>
          <w:sz w:val="24"/>
          <w:szCs w:val="24"/>
        </w:rPr>
        <w:t>Specific objectives to work towards,</w:t>
      </w:r>
    </w:p>
    <w:p w14:paraId="60750655" w14:textId="77777777" w:rsidR="00A90BFA" w:rsidRDefault="00000000">
      <w:pPr>
        <w:numPr>
          <w:ilvl w:val="0"/>
          <w:numId w:val="7"/>
        </w:numPr>
        <w:pBdr>
          <w:top w:val="nil"/>
          <w:left w:val="nil"/>
          <w:bottom w:val="nil"/>
          <w:right w:val="nil"/>
          <w:between w:val="nil"/>
        </w:pBdr>
      </w:pPr>
      <w:r>
        <w:rPr>
          <w:rFonts w:ascii="Calibri" w:eastAsia="Calibri" w:hAnsi="Calibri" w:cs="Calibri"/>
          <w:color w:val="000000"/>
          <w:sz w:val="24"/>
          <w:szCs w:val="24"/>
        </w:rPr>
        <w:t>Provision in place to support the student;</w:t>
      </w:r>
    </w:p>
    <w:p w14:paraId="0480E671" w14:textId="77777777" w:rsidR="00A90BFA" w:rsidRDefault="00000000">
      <w:pPr>
        <w:numPr>
          <w:ilvl w:val="1"/>
          <w:numId w:val="7"/>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Support through Quality First Teaching in the classroom,</w:t>
      </w:r>
    </w:p>
    <w:p w14:paraId="60151E51" w14:textId="77777777" w:rsidR="00A90BFA" w:rsidRDefault="00000000">
      <w:pPr>
        <w:numPr>
          <w:ilvl w:val="1"/>
          <w:numId w:val="7"/>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Additional interventions in small groups or on a one-to-one basis,</w:t>
      </w:r>
    </w:p>
    <w:p w14:paraId="2538FC25" w14:textId="77777777" w:rsidR="00A90BFA" w:rsidRDefault="00000000">
      <w:pPr>
        <w:numPr>
          <w:ilvl w:val="1"/>
          <w:numId w:val="7"/>
        </w:numPr>
        <w:pBdr>
          <w:top w:val="nil"/>
          <w:left w:val="nil"/>
          <w:bottom w:val="nil"/>
          <w:right w:val="nil"/>
          <w:between w:val="nil"/>
        </w:pBdr>
        <w:rPr>
          <w:color w:val="000000"/>
          <w:sz w:val="24"/>
          <w:szCs w:val="24"/>
        </w:rPr>
      </w:pPr>
      <w:r>
        <w:rPr>
          <w:rFonts w:ascii="Calibri" w:eastAsia="Calibri" w:hAnsi="Calibri" w:cs="Calibri"/>
          <w:color w:val="000000"/>
          <w:sz w:val="24"/>
          <w:szCs w:val="24"/>
        </w:rPr>
        <w:t>Access arrangements,</w:t>
      </w:r>
    </w:p>
    <w:p w14:paraId="162DCE71" w14:textId="77777777" w:rsidR="00A90BFA" w:rsidRDefault="00000000">
      <w:pPr>
        <w:numPr>
          <w:ilvl w:val="0"/>
          <w:numId w:val="7"/>
        </w:numPr>
        <w:pBdr>
          <w:top w:val="nil"/>
          <w:left w:val="nil"/>
          <w:bottom w:val="nil"/>
          <w:right w:val="nil"/>
          <w:between w:val="nil"/>
        </w:pBdr>
        <w:spacing w:after="0"/>
      </w:pPr>
      <w:r>
        <w:rPr>
          <w:rFonts w:ascii="Calibri" w:eastAsia="Calibri" w:hAnsi="Calibri" w:cs="Calibri"/>
          <w:color w:val="000000"/>
          <w:sz w:val="24"/>
          <w:szCs w:val="24"/>
        </w:rPr>
        <w:t>Expected or intended outcomes of the provision,</w:t>
      </w:r>
    </w:p>
    <w:p w14:paraId="765584F6" w14:textId="77777777" w:rsidR="00A90BFA" w:rsidRDefault="00000000">
      <w:pPr>
        <w:numPr>
          <w:ilvl w:val="0"/>
          <w:numId w:val="7"/>
        </w:numPr>
        <w:pBdr>
          <w:top w:val="nil"/>
          <w:left w:val="nil"/>
          <w:bottom w:val="nil"/>
          <w:right w:val="nil"/>
          <w:between w:val="nil"/>
        </w:pBdr>
        <w:sectPr w:rsidR="00A90BFA">
          <w:type w:val="continuous"/>
          <w:pgSz w:w="11906" w:h="16838"/>
          <w:pgMar w:top="720" w:right="720" w:bottom="720" w:left="720" w:header="708" w:footer="708" w:gutter="0"/>
          <w:cols w:space="720"/>
        </w:sectPr>
      </w:pPr>
      <w:r>
        <w:rPr>
          <w:rFonts w:ascii="Calibri" w:eastAsia="Calibri" w:hAnsi="Calibri" w:cs="Calibri"/>
          <w:color w:val="000000"/>
          <w:sz w:val="24"/>
          <w:szCs w:val="24"/>
        </w:rPr>
        <w:t>Reviews of the provision.</w:t>
      </w:r>
    </w:p>
    <w:p w14:paraId="49DACF3F" w14:textId="77777777" w:rsidR="00A90BFA" w:rsidRDefault="00000000">
      <w:pPr>
        <w:spacing w:line="240" w:lineRule="auto"/>
        <w:rPr>
          <w:rFonts w:ascii="Calibri" w:eastAsia="Calibri" w:hAnsi="Calibri" w:cs="Calibri"/>
          <w:color w:val="12501A"/>
          <w:sz w:val="24"/>
          <w:szCs w:val="24"/>
        </w:rPr>
      </w:pPr>
      <w:r>
        <w:rPr>
          <w:rFonts w:ascii="Calibri" w:eastAsia="Calibri" w:hAnsi="Calibri" w:cs="Calibri"/>
          <w:color w:val="12501A"/>
          <w:sz w:val="24"/>
          <w:szCs w:val="24"/>
        </w:rPr>
        <w:t>Do:</w:t>
      </w:r>
    </w:p>
    <w:p w14:paraId="6A4D83B8" w14:textId="77777777" w:rsidR="00A90BFA" w:rsidRDefault="00000000">
      <w:pPr>
        <w:pStyle w:val="Heading1"/>
        <w:spacing w:before="0" w:after="120"/>
        <w:rPr>
          <w:rFonts w:ascii="Calibri" w:eastAsia="Calibri" w:hAnsi="Calibri" w:cs="Calibri"/>
          <w:color w:val="000000"/>
          <w:sz w:val="24"/>
          <w:szCs w:val="24"/>
        </w:rPr>
      </w:pPr>
      <w:r>
        <w:rPr>
          <w:rFonts w:ascii="Calibri" w:eastAsia="Calibri" w:hAnsi="Calibri" w:cs="Calibri"/>
          <w:color w:val="000000"/>
          <w:sz w:val="24"/>
          <w:szCs w:val="24"/>
        </w:rPr>
        <w:t>Provision takes place in the classroom as well as in small groups and one to one:</w:t>
      </w:r>
    </w:p>
    <w:p w14:paraId="3AC30FE6" w14:textId="77777777" w:rsidR="00A90BFA" w:rsidRDefault="00000000">
      <w:pPr>
        <w:numPr>
          <w:ilvl w:val="0"/>
          <w:numId w:val="7"/>
        </w:numPr>
        <w:pBdr>
          <w:top w:val="nil"/>
          <w:left w:val="nil"/>
          <w:bottom w:val="nil"/>
          <w:right w:val="nil"/>
          <w:between w:val="nil"/>
        </w:pBdr>
        <w:spacing w:after="0"/>
      </w:pPr>
      <w:r>
        <w:rPr>
          <w:rFonts w:ascii="Calibri" w:eastAsia="Calibri" w:hAnsi="Calibri" w:cs="Calibri"/>
          <w:color w:val="000000"/>
          <w:sz w:val="24"/>
          <w:szCs w:val="24"/>
        </w:rPr>
        <w:t>The class teacher takes the lead on implementing the provision within the classroom.  This is communicated via the student’s Passport and/or Learning Plan, as well as the SEND Register and staff briefings.</w:t>
      </w:r>
    </w:p>
    <w:p w14:paraId="6845AD2A" w14:textId="77777777" w:rsidR="00A90BFA" w:rsidRDefault="00000000">
      <w:pPr>
        <w:numPr>
          <w:ilvl w:val="0"/>
          <w:numId w:val="7"/>
        </w:numPr>
        <w:pBdr>
          <w:top w:val="nil"/>
          <w:left w:val="nil"/>
          <w:bottom w:val="nil"/>
          <w:right w:val="nil"/>
          <w:between w:val="nil"/>
        </w:pBdr>
        <w:spacing w:after="0"/>
      </w:pPr>
      <w:r>
        <w:rPr>
          <w:rFonts w:ascii="Calibri" w:eastAsia="Calibri" w:hAnsi="Calibri" w:cs="Calibri"/>
          <w:color w:val="000000"/>
          <w:sz w:val="24"/>
          <w:szCs w:val="24"/>
        </w:rPr>
        <w:t>Small group or one-to-one intervention is delivered by an experienced (and where necessary, qualified) member of the SEND team, and is overseen by the SENDCo.</w:t>
      </w:r>
    </w:p>
    <w:p w14:paraId="54111074" w14:textId="77777777" w:rsidR="00A90BFA" w:rsidRDefault="00000000">
      <w:pPr>
        <w:numPr>
          <w:ilvl w:val="0"/>
          <w:numId w:val="7"/>
        </w:numPr>
        <w:pBdr>
          <w:top w:val="nil"/>
          <w:left w:val="nil"/>
          <w:bottom w:val="nil"/>
          <w:right w:val="nil"/>
          <w:between w:val="nil"/>
        </w:pBdr>
        <w:sectPr w:rsidR="00A90BFA">
          <w:type w:val="continuous"/>
          <w:pgSz w:w="11906" w:h="16838"/>
          <w:pgMar w:top="720" w:right="720" w:bottom="720" w:left="720" w:header="708" w:footer="708" w:gutter="0"/>
          <w:cols w:space="720"/>
        </w:sectPr>
      </w:pPr>
      <w:r>
        <w:rPr>
          <w:rFonts w:ascii="Calibri" w:eastAsia="Calibri" w:hAnsi="Calibri" w:cs="Calibri"/>
          <w:color w:val="000000"/>
          <w:sz w:val="24"/>
          <w:szCs w:val="24"/>
        </w:rPr>
        <w:t xml:space="preserve">In some cases, external expertise </w:t>
      </w:r>
      <w:proofErr w:type="gramStart"/>
      <w:r>
        <w:rPr>
          <w:rFonts w:ascii="Calibri" w:eastAsia="Calibri" w:hAnsi="Calibri" w:cs="Calibri"/>
          <w:color w:val="000000"/>
          <w:sz w:val="24"/>
          <w:szCs w:val="24"/>
        </w:rPr>
        <w:t>are</w:t>
      </w:r>
      <w:proofErr w:type="gramEnd"/>
      <w:r>
        <w:rPr>
          <w:rFonts w:ascii="Calibri" w:eastAsia="Calibri" w:hAnsi="Calibri" w:cs="Calibri"/>
          <w:color w:val="000000"/>
          <w:sz w:val="24"/>
          <w:szCs w:val="24"/>
        </w:rPr>
        <w:t xml:space="preserve"> required, such as Speech and Language Therapy (</w:t>
      </w:r>
      <w:proofErr w:type="spellStart"/>
      <w:r>
        <w:rPr>
          <w:rFonts w:ascii="Calibri" w:eastAsia="Calibri" w:hAnsi="Calibri" w:cs="Calibri"/>
          <w:color w:val="000000"/>
          <w:sz w:val="24"/>
          <w:szCs w:val="24"/>
        </w:rPr>
        <w:t>SaLT</w:t>
      </w:r>
      <w:proofErr w:type="spellEnd"/>
      <w:r>
        <w:rPr>
          <w:rFonts w:ascii="Calibri" w:eastAsia="Calibri" w:hAnsi="Calibri" w:cs="Calibri"/>
          <w:color w:val="000000"/>
          <w:sz w:val="24"/>
          <w:szCs w:val="24"/>
        </w:rPr>
        <w:t xml:space="preserve">) or Occupational Therapy (OT).  This is arranged through medical referrals to the NHS or Local Authority. </w:t>
      </w:r>
    </w:p>
    <w:p w14:paraId="2DB11712" w14:textId="77777777" w:rsidR="00A90BFA" w:rsidRDefault="00000000">
      <w:pPr>
        <w:spacing w:line="240" w:lineRule="auto"/>
        <w:rPr>
          <w:rFonts w:ascii="Calibri" w:eastAsia="Calibri" w:hAnsi="Calibri" w:cs="Calibri"/>
          <w:color w:val="12501A"/>
          <w:sz w:val="24"/>
          <w:szCs w:val="24"/>
        </w:rPr>
      </w:pPr>
      <w:r>
        <w:rPr>
          <w:rFonts w:ascii="Calibri" w:eastAsia="Calibri" w:hAnsi="Calibri" w:cs="Calibri"/>
          <w:color w:val="12501A"/>
          <w:sz w:val="24"/>
          <w:szCs w:val="24"/>
        </w:rPr>
        <w:t>Review:</w:t>
      </w:r>
    </w:p>
    <w:p w14:paraId="7DCEDAB6" w14:textId="77777777" w:rsidR="00A90BFA" w:rsidRDefault="00000000">
      <w:pPr>
        <w:pStyle w:val="Heading1"/>
        <w:spacing w:before="0" w:after="120"/>
        <w:rPr>
          <w:rFonts w:ascii="Calibri" w:eastAsia="Calibri" w:hAnsi="Calibri" w:cs="Calibri"/>
          <w:color w:val="000000"/>
          <w:sz w:val="24"/>
          <w:szCs w:val="24"/>
        </w:rPr>
      </w:pPr>
      <w:r>
        <w:rPr>
          <w:rFonts w:ascii="Calibri" w:eastAsia="Calibri" w:hAnsi="Calibri" w:cs="Calibri"/>
          <w:color w:val="000000"/>
          <w:sz w:val="24"/>
          <w:szCs w:val="24"/>
        </w:rPr>
        <w:t>Provision is reviewed at least 6-weekly, with the progress or success criteria being specific to the intervention and expected outcomes.</w:t>
      </w:r>
    </w:p>
    <w:p w14:paraId="03A97BC5" w14:textId="77777777" w:rsidR="00A90BFA" w:rsidRDefault="00000000">
      <w:pPr>
        <w:numPr>
          <w:ilvl w:val="0"/>
          <w:numId w:val="4"/>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If the support package is deemed unsuccessful, the provision is reviewed and an alternative approach or intervention is put in place.</w:t>
      </w:r>
    </w:p>
    <w:p w14:paraId="17FDED97" w14:textId="77777777" w:rsidR="00A90BFA" w:rsidRDefault="00000000">
      <w:pPr>
        <w:numPr>
          <w:ilvl w:val="0"/>
          <w:numId w:val="4"/>
        </w:numPr>
        <w:pBdr>
          <w:top w:val="nil"/>
          <w:left w:val="nil"/>
          <w:bottom w:val="nil"/>
          <w:right w:val="nil"/>
          <w:between w:val="nil"/>
        </w:pBdr>
        <w:rPr>
          <w:color w:val="000000"/>
          <w:sz w:val="24"/>
          <w:szCs w:val="24"/>
        </w:rPr>
        <w:sectPr w:rsidR="00A90BFA">
          <w:type w:val="continuous"/>
          <w:pgSz w:w="11906" w:h="16838"/>
          <w:pgMar w:top="720" w:right="720" w:bottom="720" w:left="720" w:header="708" w:footer="708" w:gutter="0"/>
          <w:cols w:space="720"/>
        </w:sectPr>
      </w:pPr>
      <w:r>
        <w:rPr>
          <w:rFonts w:ascii="Calibri" w:eastAsia="Calibri" w:hAnsi="Calibri" w:cs="Calibri"/>
          <w:color w:val="000000"/>
          <w:sz w:val="24"/>
          <w:szCs w:val="24"/>
        </w:rPr>
        <w:lastRenderedPageBreak/>
        <w:t>If further barriers emerge or are identified, the provision is reviewed and possibly changed or extended.</w:t>
      </w:r>
    </w:p>
    <w:p w14:paraId="0390761A" w14:textId="77777777" w:rsidR="00A90BFA" w:rsidRDefault="00A90BFA">
      <w:pPr>
        <w:rPr>
          <w:rFonts w:ascii="Calibri" w:eastAsia="Calibri" w:hAnsi="Calibri" w:cs="Calibri"/>
          <w:sz w:val="24"/>
          <w:szCs w:val="24"/>
          <w:u w:val="single"/>
        </w:rPr>
      </w:pPr>
    </w:p>
    <w:p w14:paraId="580F786B" w14:textId="77777777" w:rsidR="00A90BFA" w:rsidRDefault="00A90BFA">
      <w:pPr>
        <w:rPr>
          <w:rFonts w:ascii="Calibri" w:eastAsia="Calibri" w:hAnsi="Calibri" w:cs="Calibri"/>
          <w:sz w:val="24"/>
          <w:szCs w:val="24"/>
          <w:u w:val="single"/>
        </w:rPr>
      </w:pPr>
    </w:p>
    <w:p w14:paraId="648B8AD1" w14:textId="77777777" w:rsidR="00A90BFA" w:rsidRDefault="00A90BFA">
      <w:pPr>
        <w:rPr>
          <w:rFonts w:ascii="Calibri" w:eastAsia="Calibri" w:hAnsi="Calibri" w:cs="Calibri"/>
          <w:sz w:val="24"/>
          <w:szCs w:val="24"/>
          <w:u w:val="single"/>
        </w:rPr>
      </w:pPr>
    </w:p>
    <w:p w14:paraId="58596DFC" w14:textId="77777777" w:rsidR="00A90BFA" w:rsidRDefault="00A90BFA">
      <w:pPr>
        <w:rPr>
          <w:rFonts w:ascii="Calibri" w:eastAsia="Calibri" w:hAnsi="Calibri" w:cs="Calibri"/>
          <w:sz w:val="24"/>
          <w:szCs w:val="24"/>
          <w:u w:val="single"/>
        </w:rPr>
      </w:pPr>
    </w:p>
    <w:p w14:paraId="79DD3243" w14:textId="77777777" w:rsidR="00A90BFA" w:rsidRDefault="00A90BFA">
      <w:pPr>
        <w:rPr>
          <w:rFonts w:ascii="Calibri" w:eastAsia="Calibri" w:hAnsi="Calibri" w:cs="Calibri"/>
          <w:sz w:val="24"/>
          <w:szCs w:val="24"/>
          <w:u w:val="single"/>
        </w:rPr>
      </w:pPr>
    </w:p>
    <w:p w14:paraId="35DE2CC0" w14:textId="77777777" w:rsidR="00A90BFA" w:rsidRDefault="00A90BFA">
      <w:pPr>
        <w:rPr>
          <w:rFonts w:ascii="Calibri" w:eastAsia="Calibri" w:hAnsi="Calibri" w:cs="Calibri"/>
          <w:sz w:val="24"/>
          <w:szCs w:val="24"/>
          <w:u w:val="single"/>
        </w:rPr>
      </w:pPr>
    </w:p>
    <w:p w14:paraId="276797B2" w14:textId="77777777" w:rsidR="00A90BFA" w:rsidRDefault="00A90BFA">
      <w:pPr>
        <w:rPr>
          <w:rFonts w:ascii="Calibri" w:eastAsia="Calibri" w:hAnsi="Calibri" w:cs="Calibri"/>
          <w:sz w:val="24"/>
          <w:szCs w:val="24"/>
          <w:u w:val="single"/>
        </w:rPr>
      </w:pPr>
    </w:p>
    <w:p w14:paraId="4C334840" w14:textId="77777777" w:rsidR="00A90BFA" w:rsidRDefault="00A90BFA">
      <w:pPr>
        <w:rPr>
          <w:rFonts w:ascii="Calibri" w:eastAsia="Calibri" w:hAnsi="Calibri" w:cs="Calibri"/>
          <w:sz w:val="24"/>
          <w:szCs w:val="24"/>
          <w:u w:val="single"/>
        </w:rPr>
      </w:pPr>
    </w:p>
    <w:p w14:paraId="6667AF1E" w14:textId="77777777" w:rsidR="00A90BFA" w:rsidRDefault="00000000">
      <w:pPr>
        <w:rPr>
          <w:rFonts w:ascii="Calibri" w:eastAsia="Calibri" w:hAnsi="Calibri" w:cs="Calibri"/>
          <w:color w:val="12501A"/>
          <w:sz w:val="28"/>
          <w:szCs w:val="28"/>
        </w:rPr>
      </w:pPr>
      <w:r>
        <w:rPr>
          <w:rFonts w:ascii="Calibri" w:eastAsia="Calibri" w:hAnsi="Calibri" w:cs="Calibri"/>
          <w:color w:val="12501A"/>
          <w:sz w:val="28"/>
          <w:szCs w:val="28"/>
        </w:rPr>
        <w:t>Frequently Asked Questions:</w:t>
      </w:r>
    </w:p>
    <w:p w14:paraId="32B5F302" w14:textId="77777777" w:rsidR="00A90BFA" w:rsidRDefault="00000000">
      <w:pPr>
        <w:pStyle w:val="Heading1"/>
        <w:rPr>
          <w:rFonts w:ascii="Calibri" w:eastAsia="Calibri" w:hAnsi="Calibri" w:cs="Calibri"/>
          <w:color w:val="000000"/>
          <w:sz w:val="24"/>
          <w:szCs w:val="24"/>
        </w:rPr>
      </w:pPr>
      <w:r>
        <w:rPr>
          <w:rFonts w:ascii="Calibri" w:eastAsia="Calibri" w:hAnsi="Calibri" w:cs="Calibri"/>
          <w:color w:val="000000"/>
          <w:sz w:val="24"/>
          <w:szCs w:val="24"/>
        </w:rPr>
        <w:t xml:space="preserve">Who </w:t>
      </w:r>
      <w:proofErr w:type="gramStart"/>
      <w:r>
        <w:rPr>
          <w:rFonts w:ascii="Calibri" w:eastAsia="Calibri" w:hAnsi="Calibri" w:cs="Calibri"/>
          <w:color w:val="000000"/>
          <w:sz w:val="24"/>
          <w:szCs w:val="24"/>
        </w:rPr>
        <w:t>is</w:t>
      </w:r>
      <w:proofErr w:type="gramEnd"/>
      <w:r>
        <w:rPr>
          <w:rFonts w:ascii="Calibri" w:eastAsia="Calibri" w:hAnsi="Calibri" w:cs="Calibri"/>
          <w:color w:val="000000"/>
          <w:sz w:val="24"/>
          <w:szCs w:val="24"/>
        </w:rPr>
        <w:t xml:space="preserve"> the Special Educational Needs and Disabilities Co-Ordinator (SENDCo)? </w:t>
      </w:r>
    </w:p>
    <w:p w14:paraId="093856CB" w14:textId="77777777" w:rsidR="00A90BFA" w:rsidRDefault="00000000">
      <w:pPr>
        <w:numPr>
          <w:ilvl w:val="0"/>
          <w:numId w:val="8"/>
        </w:numPr>
        <w:pBdr>
          <w:top w:val="nil"/>
          <w:left w:val="nil"/>
          <w:bottom w:val="nil"/>
          <w:right w:val="nil"/>
          <w:between w:val="nil"/>
        </w:pBdr>
        <w:rPr>
          <w:color w:val="000000"/>
          <w:sz w:val="24"/>
          <w:szCs w:val="24"/>
        </w:rPr>
      </w:pPr>
      <w:hyperlink w:anchor="_heading=h.hvs8y6ff87ar">
        <w:r>
          <w:rPr>
            <w:rFonts w:ascii="Calibri" w:eastAsia="Calibri" w:hAnsi="Calibri" w:cs="Calibri"/>
            <w:color w:val="000000"/>
            <w:sz w:val="24"/>
            <w:szCs w:val="24"/>
          </w:rPr>
          <w:t xml:space="preserve">Click here: </w:t>
        </w:r>
      </w:hyperlink>
      <w:hyperlink w:anchor="_heading=h.hvs8y6ff87ar">
        <w:r>
          <w:rPr>
            <w:rFonts w:ascii="Calibri" w:eastAsia="Calibri" w:hAnsi="Calibri" w:cs="Calibri"/>
            <w:b/>
            <w:bCs/>
            <w:color w:val="000000"/>
            <w:sz w:val="24"/>
            <w:szCs w:val="24"/>
          </w:rPr>
          <w:t>Meet the Team</w:t>
        </w:r>
      </w:hyperlink>
    </w:p>
    <w:p w14:paraId="51664CA9" w14:textId="77777777" w:rsidR="00A90BFA" w:rsidRDefault="00000000">
      <w:pPr>
        <w:pStyle w:val="Heading1"/>
        <w:rPr>
          <w:rFonts w:ascii="Calibri" w:eastAsia="Calibri" w:hAnsi="Calibri" w:cs="Calibri"/>
          <w:color w:val="000000"/>
          <w:sz w:val="24"/>
          <w:szCs w:val="24"/>
        </w:rPr>
      </w:pPr>
      <w:r>
        <w:rPr>
          <w:rFonts w:ascii="Calibri" w:eastAsia="Calibri" w:hAnsi="Calibri" w:cs="Calibri"/>
          <w:color w:val="000000"/>
          <w:sz w:val="24"/>
          <w:szCs w:val="24"/>
        </w:rPr>
        <w:t>How accessible is the school?</w:t>
      </w:r>
    </w:p>
    <w:p w14:paraId="5C97E1F5" w14:textId="77777777" w:rsidR="00A90BFA" w:rsidRDefault="00000000">
      <w:pPr>
        <w:numPr>
          <w:ilvl w:val="0"/>
          <w:numId w:val="8"/>
        </w:numPr>
        <w:pBdr>
          <w:top w:val="nil"/>
          <w:left w:val="nil"/>
          <w:bottom w:val="nil"/>
          <w:right w:val="nil"/>
          <w:between w:val="nil"/>
        </w:pBdr>
        <w:rPr>
          <w:color w:val="000000"/>
          <w:sz w:val="24"/>
          <w:szCs w:val="24"/>
        </w:rPr>
      </w:pPr>
      <w:r>
        <w:rPr>
          <w:rFonts w:ascii="Calibri" w:eastAsia="Calibri" w:hAnsi="Calibri" w:cs="Calibri"/>
          <w:color w:val="000000"/>
          <w:sz w:val="24"/>
          <w:szCs w:val="24"/>
        </w:rPr>
        <w:t xml:space="preserve">Click here: </w:t>
      </w:r>
      <w:hyperlink w:anchor="_heading=h.hvs8y6ff87ar">
        <w:r>
          <w:rPr>
            <w:rFonts w:ascii="Calibri" w:eastAsia="Calibri" w:hAnsi="Calibri" w:cs="Calibri"/>
            <w:b/>
            <w:bCs/>
            <w:color w:val="000000"/>
            <w:sz w:val="24"/>
            <w:szCs w:val="24"/>
          </w:rPr>
          <w:t>Accessibility Plan</w:t>
        </w:r>
      </w:hyperlink>
    </w:p>
    <w:p w14:paraId="49C469CA" w14:textId="77777777" w:rsidR="00A90BFA" w:rsidRDefault="00000000">
      <w:pPr>
        <w:pStyle w:val="Heading1"/>
        <w:rPr>
          <w:rFonts w:ascii="Calibri" w:eastAsia="Calibri" w:hAnsi="Calibri" w:cs="Calibri"/>
          <w:color w:val="000000"/>
          <w:sz w:val="24"/>
          <w:szCs w:val="24"/>
        </w:rPr>
      </w:pPr>
      <w:r>
        <w:rPr>
          <w:rFonts w:ascii="Calibri" w:eastAsia="Calibri" w:hAnsi="Calibri" w:cs="Calibri"/>
          <w:color w:val="000000"/>
          <w:sz w:val="24"/>
          <w:szCs w:val="24"/>
        </w:rPr>
        <w:t>How will school staff support my child?</w:t>
      </w:r>
    </w:p>
    <w:p w14:paraId="0F1B58E8" w14:textId="77777777" w:rsidR="00A90BFA" w:rsidRDefault="00000000">
      <w:pPr>
        <w:numPr>
          <w:ilvl w:val="0"/>
          <w:numId w:val="8"/>
        </w:numPr>
        <w:pBdr>
          <w:top w:val="nil"/>
          <w:left w:val="nil"/>
          <w:bottom w:val="nil"/>
          <w:right w:val="nil"/>
          <w:between w:val="nil"/>
        </w:pBdr>
        <w:spacing w:after="0"/>
        <w:rPr>
          <w:color w:val="000000"/>
          <w:sz w:val="24"/>
          <w:szCs w:val="24"/>
        </w:rPr>
      </w:pPr>
      <w:hyperlink w:anchor="_heading=h.ahqew2yusk9i">
        <w:r>
          <w:rPr>
            <w:rFonts w:ascii="Calibri" w:eastAsia="Calibri" w:hAnsi="Calibri" w:cs="Calibri"/>
            <w:color w:val="000000"/>
            <w:sz w:val="24"/>
            <w:szCs w:val="24"/>
          </w:rPr>
          <w:t xml:space="preserve">Click here: </w:t>
        </w:r>
      </w:hyperlink>
      <w:hyperlink w:anchor="_heading=h.ahqew2yusk9i">
        <w:r>
          <w:rPr>
            <w:rFonts w:ascii="Calibri" w:eastAsia="Calibri" w:hAnsi="Calibri" w:cs="Calibri"/>
            <w:b/>
            <w:bCs/>
            <w:color w:val="000000"/>
            <w:sz w:val="24"/>
            <w:szCs w:val="24"/>
          </w:rPr>
          <w:t>Identification of need</w:t>
        </w:r>
      </w:hyperlink>
    </w:p>
    <w:p w14:paraId="272E6CB0" w14:textId="77777777" w:rsidR="00A90BFA" w:rsidRDefault="00000000">
      <w:pPr>
        <w:numPr>
          <w:ilvl w:val="0"/>
          <w:numId w:val="8"/>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All staff are supporters of SEND, and all staff are responsible for ensuring all students achieve their potential.</w:t>
      </w:r>
    </w:p>
    <w:p w14:paraId="3B0C5C74" w14:textId="77777777" w:rsidR="00A90BFA" w:rsidRDefault="00000000">
      <w:pPr>
        <w:numPr>
          <w:ilvl w:val="0"/>
          <w:numId w:val="8"/>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All teaching staff will be informed of your child’s needs and barriers to their learning.  A Passport will be created, which acts as a communication tool to help staff understand and prepare support for your child.</w:t>
      </w:r>
    </w:p>
    <w:p w14:paraId="644390AD" w14:textId="77777777" w:rsidR="00A90BFA" w:rsidRDefault="00000000">
      <w:pPr>
        <w:numPr>
          <w:ilvl w:val="0"/>
          <w:numId w:val="8"/>
        </w:numPr>
        <w:pBdr>
          <w:top w:val="nil"/>
          <w:left w:val="nil"/>
          <w:bottom w:val="nil"/>
          <w:right w:val="nil"/>
          <w:between w:val="nil"/>
        </w:pBdr>
        <w:rPr>
          <w:color w:val="000000"/>
          <w:sz w:val="24"/>
          <w:szCs w:val="24"/>
        </w:rPr>
      </w:pPr>
      <w:r>
        <w:rPr>
          <w:rFonts w:ascii="Calibri" w:eastAsia="Calibri" w:hAnsi="Calibri" w:cs="Calibri"/>
          <w:color w:val="000000"/>
          <w:sz w:val="24"/>
          <w:szCs w:val="24"/>
        </w:rPr>
        <w:t>Our curriculum offer is varied; we have a range of vocational qualifications, with the majority of courses being GCSEs. Pathways exist to support individual student’s aspirations and interests.</w:t>
      </w:r>
    </w:p>
    <w:p w14:paraId="0F122214" w14:textId="77777777" w:rsidR="00A90BFA" w:rsidRDefault="00000000">
      <w:pPr>
        <w:pStyle w:val="Heading1"/>
        <w:rPr>
          <w:rFonts w:ascii="Calibri" w:eastAsia="Calibri" w:hAnsi="Calibri" w:cs="Calibri"/>
          <w:color w:val="000000"/>
          <w:sz w:val="24"/>
          <w:szCs w:val="24"/>
        </w:rPr>
      </w:pPr>
      <w:r>
        <w:rPr>
          <w:rFonts w:ascii="Calibri" w:eastAsia="Calibri" w:hAnsi="Calibri" w:cs="Calibri"/>
          <w:color w:val="000000"/>
          <w:sz w:val="24"/>
          <w:szCs w:val="24"/>
        </w:rPr>
        <w:t>How will you identify if my child has SEND?</w:t>
      </w:r>
    </w:p>
    <w:p w14:paraId="45B21BF4" w14:textId="77777777" w:rsidR="00A90BFA" w:rsidRDefault="00000000">
      <w:pPr>
        <w:numPr>
          <w:ilvl w:val="0"/>
          <w:numId w:val="8"/>
        </w:numPr>
        <w:pBdr>
          <w:top w:val="nil"/>
          <w:left w:val="nil"/>
          <w:bottom w:val="nil"/>
          <w:right w:val="nil"/>
          <w:between w:val="nil"/>
        </w:pBdr>
        <w:rPr>
          <w:color w:val="000000"/>
          <w:sz w:val="24"/>
          <w:szCs w:val="24"/>
        </w:rPr>
      </w:pPr>
      <w:hyperlink w:anchor="_heading=h.ahqew2yusk9i">
        <w:r>
          <w:rPr>
            <w:rFonts w:ascii="Calibri" w:eastAsia="Calibri" w:hAnsi="Calibri" w:cs="Calibri"/>
            <w:color w:val="000000"/>
            <w:sz w:val="24"/>
            <w:szCs w:val="24"/>
          </w:rPr>
          <w:t xml:space="preserve">Click here: </w:t>
        </w:r>
      </w:hyperlink>
      <w:hyperlink w:anchor="_heading=h.ahqew2yusk9i">
        <w:r>
          <w:rPr>
            <w:rFonts w:ascii="Calibri" w:eastAsia="Calibri" w:hAnsi="Calibri" w:cs="Calibri"/>
            <w:b/>
            <w:bCs/>
            <w:color w:val="000000"/>
            <w:sz w:val="24"/>
            <w:szCs w:val="24"/>
          </w:rPr>
          <w:t>Identification of need</w:t>
        </w:r>
      </w:hyperlink>
    </w:p>
    <w:p w14:paraId="5CE72C71" w14:textId="77777777" w:rsidR="00A90BFA" w:rsidRDefault="00000000">
      <w:pPr>
        <w:pStyle w:val="Heading1"/>
        <w:rPr>
          <w:rFonts w:ascii="Calibri" w:eastAsia="Calibri" w:hAnsi="Calibri" w:cs="Calibri"/>
          <w:color w:val="000000"/>
          <w:sz w:val="24"/>
          <w:szCs w:val="24"/>
        </w:rPr>
      </w:pPr>
      <w:r>
        <w:rPr>
          <w:rFonts w:ascii="Calibri" w:eastAsia="Calibri" w:hAnsi="Calibri" w:cs="Calibri"/>
          <w:color w:val="000000"/>
          <w:sz w:val="24"/>
          <w:szCs w:val="24"/>
        </w:rPr>
        <w:t>Does my child need a diagnosis in order to access support?</w:t>
      </w:r>
    </w:p>
    <w:p w14:paraId="2BA0CBDC" w14:textId="77777777" w:rsidR="00A90BFA" w:rsidRDefault="00000000">
      <w:pPr>
        <w:numPr>
          <w:ilvl w:val="0"/>
          <w:numId w:val="8"/>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No.  We put support in place to address the barriers we see in school, there is no need for a formal diagnosis in order to access support.  All students present different behaviours when struggling in school, we follow guidance and recommendations from experts in various educational and medical fields to make our provision as effective as possible.  All students are treated as individuals and their needs are provided for as individuals.</w:t>
      </w:r>
    </w:p>
    <w:p w14:paraId="52B98479" w14:textId="77777777" w:rsidR="00A90BFA" w:rsidRDefault="00000000">
      <w:pPr>
        <w:numPr>
          <w:ilvl w:val="0"/>
          <w:numId w:val="8"/>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We do not advise for or against diagnostic assessments, it is a personal choice for you and the student to consider.  While we are happy to be a sounding board for questions and ideas, we do not advise.</w:t>
      </w:r>
    </w:p>
    <w:p w14:paraId="321BEFB9" w14:textId="77777777" w:rsidR="00A90BFA" w:rsidRDefault="00000000">
      <w:pPr>
        <w:numPr>
          <w:ilvl w:val="0"/>
          <w:numId w:val="8"/>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If you decide to seek advice or a diagnostic assessment from a private therapist or organisation, we recommend you use the NICE Guidance (</w:t>
      </w:r>
      <w:hyperlink r:id="rId17">
        <w:r>
          <w:rPr>
            <w:rFonts w:ascii="Calibri" w:eastAsia="Calibri" w:hAnsi="Calibri" w:cs="Calibri"/>
            <w:color w:val="467886"/>
            <w:sz w:val="24"/>
            <w:szCs w:val="24"/>
            <w:u w:val="single"/>
          </w:rPr>
          <w:t>https://www.nice.org.uk</w:t>
        </w:r>
      </w:hyperlink>
      <w:r>
        <w:rPr>
          <w:rFonts w:ascii="Calibri" w:eastAsia="Calibri" w:hAnsi="Calibri" w:cs="Calibri"/>
          <w:color w:val="000000"/>
          <w:sz w:val="24"/>
          <w:szCs w:val="24"/>
        </w:rPr>
        <w:t>) provided by the National Institute for Health and Care Excellence to ensure the quality and expertise of the individual assessor.</w:t>
      </w:r>
    </w:p>
    <w:p w14:paraId="74C856E8" w14:textId="77777777" w:rsidR="00A90BFA" w:rsidRDefault="00000000">
      <w:pPr>
        <w:numPr>
          <w:ilvl w:val="0"/>
          <w:numId w:val="8"/>
        </w:numPr>
        <w:pBdr>
          <w:top w:val="nil"/>
          <w:left w:val="nil"/>
          <w:bottom w:val="nil"/>
          <w:right w:val="nil"/>
          <w:between w:val="nil"/>
        </w:pBdr>
        <w:rPr>
          <w:color w:val="000000"/>
          <w:sz w:val="24"/>
          <w:szCs w:val="24"/>
        </w:rPr>
      </w:pPr>
      <w:r>
        <w:rPr>
          <w:rFonts w:ascii="Calibri" w:eastAsia="Calibri" w:hAnsi="Calibri" w:cs="Calibri"/>
          <w:color w:val="000000"/>
          <w:sz w:val="24"/>
          <w:szCs w:val="24"/>
        </w:rPr>
        <w:lastRenderedPageBreak/>
        <w:t>We take onboard any relevant guidance and recommendations from assessment reports.</w:t>
      </w:r>
    </w:p>
    <w:p w14:paraId="44BB0628" w14:textId="77777777" w:rsidR="00A90BFA" w:rsidRDefault="00000000">
      <w:pPr>
        <w:pStyle w:val="Heading1"/>
        <w:rPr>
          <w:rFonts w:ascii="Calibri" w:eastAsia="Calibri" w:hAnsi="Calibri" w:cs="Calibri"/>
          <w:color w:val="000000"/>
          <w:sz w:val="24"/>
          <w:szCs w:val="24"/>
        </w:rPr>
      </w:pPr>
      <w:r>
        <w:rPr>
          <w:rFonts w:ascii="Calibri" w:eastAsia="Calibri" w:hAnsi="Calibri" w:cs="Calibri"/>
          <w:color w:val="000000"/>
          <w:sz w:val="24"/>
          <w:szCs w:val="24"/>
        </w:rPr>
        <w:t>Does my child need an Education, Health and Care Plan (EHCP)?</w:t>
      </w:r>
    </w:p>
    <w:p w14:paraId="55E7FA61" w14:textId="77777777" w:rsidR="00A90BFA" w:rsidRDefault="00000000">
      <w:pPr>
        <w:numPr>
          <w:ilvl w:val="0"/>
          <w:numId w:val="8"/>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It is not necessary for all students with identified SEND to have an EHCP.  Many needs can be met through the school’s resources, with provision having the necessary rigor and oversight to ensure progress is made.</w:t>
      </w:r>
    </w:p>
    <w:p w14:paraId="3F7D50E0" w14:textId="77777777" w:rsidR="00A90BFA" w:rsidRDefault="00000000">
      <w:pPr>
        <w:numPr>
          <w:ilvl w:val="0"/>
          <w:numId w:val="8"/>
        </w:numPr>
        <w:pBdr>
          <w:top w:val="nil"/>
          <w:left w:val="nil"/>
          <w:bottom w:val="nil"/>
          <w:right w:val="nil"/>
          <w:between w:val="nil"/>
        </w:pBdr>
        <w:rPr>
          <w:color w:val="000000"/>
          <w:sz w:val="24"/>
          <w:szCs w:val="24"/>
        </w:rPr>
      </w:pPr>
      <w:r>
        <w:rPr>
          <w:rFonts w:ascii="Calibri" w:eastAsia="Calibri" w:hAnsi="Calibri" w:cs="Calibri"/>
          <w:color w:val="000000"/>
          <w:sz w:val="24"/>
          <w:szCs w:val="24"/>
        </w:rPr>
        <w:t xml:space="preserve">Where a child requires a significantly higher level of provision that is unavailable within a mainstream setting, either physically or due to funding, an Education, Health and Care Plan will be discussed and explored with you and the Local Authority. </w:t>
      </w:r>
    </w:p>
    <w:p w14:paraId="459481F5" w14:textId="77777777" w:rsidR="00A90BFA" w:rsidRDefault="00000000">
      <w:pPr>
        <w:pStyle w:val="Heading1"/>
        <w:rPr>
          <w:rFonts w:ascii="Calibri" w:eastAsia="Calibri" w:hAnsi="Calibri" w:cs="Calibri"/>
          <w:color w:val="000000"/>
          <w:sz w:val="24"/>
          <w:szCs w:val="24"/>
        </w:rPr>
      </w:pPr>
      <w:r>
        <w:rPr>
          <w:rFonts w:ascii="Calibri" w:eastAsia="Calibri" w:hAnsi="Calibri" w:cs="Calibri"/>
          <w:color w:val="000000"/>
          <w:sz w:val="24"/>
          <w:szCs w:val="24"/>
        </w:rPr>
        <w:t>How will you keep me informed as to my child’s progress?</w:t>
      </w:r>
    </w:p>
    <w:p w14:paraId="6D4A7303" w14:textId="77777777" w:rsidR="00A90BFA" w:rsidRDefault="00000000">
      <w:pPr>
        <w:numPr>
          <w:ilvl w:val="0"/>
          <w:numId w:val="5"/>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 xml:space="preserve">Home-School communication is a vital part of the success of the SEND team.  We welcome opportunities to discuss students with parents/carers and provide specific events and methods to do so.  We have a central email address </w:t>
      </w:r>
      <w:r>
        <w:rPr>
          <w:rFonts w:ascii="Calibri" w:eastAsia="Calibri" w:hAnsi="Calibri" w:cs="Calibri"/>
          <w:sz w:val="24"/>
          <w:szCs w:val="24"/>
        </w:rPr>
        <w:t xml:space="preserve">for the SEND team to ensure a timely response to all communication - send@priorysouthsea.org </w:t>
      </w:r>
    </w:p>
    <w:p w14:paraId="5C2B2037" w14:textId="77777777" w:rsidR="00A90BFA" w:rsidRDefault="00000000">
      <w:pPr>
        <w:numPr>
          <w:ilvl w:val="0"/>
          <w:numId w:val="5"/>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Parent’s Evening – the SENDCo is available to speak to during parent’s evening.</w:t>
      </w:r>
    </w:p>
    <w:p w14:paraId="7D7FCDFF" w14:textId="77777777" w:rsidR="00A90BFA" w:rsidRDefault="00000000">
      <w:pPr>
        <w:numPr>
          <w:ilvl w:val="0"/>
          <w:numId w:val="5"/>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 xml:space="preserve">Reports – termly reports are completed as a whole school, detailing progress and potential achievements throughout the year and across subjects. </w:t>
      </w:r>
    </w:p>
    <w:p w14:paraId="2B0E9EAF" w14:textId="77777777" w:rsidR="00A90BFA" w:rsidRDefault="00000000">
      <w:pPr>
        <w:numPr>
          <w:ilvl w:val="0"/>
          <w:numId w:val="5"/>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Communications – Parents/carers are encouraged to communicate any concerns or questions as soon as they arise either with the student’s tutor, class teacher, or SEND team.</w:t>
      </w:r>
    </w:p>
    <w:p w14:paraId="6AEA5A8A" w14:textId="77777777" w:rsidR="00A90BFA" w:rsidRDefault="00000000">
      <w:pPr>
        <w:numPr>
          <w:ilvl w:val="0"/>
          <w:numId w:val="5"/>
        </w:numPr>
        <w:pBdr>
          <w:top w:val="nil"/>
          <w:left w:val="nil"/>
          <w:bottom w:val="nil"/>
          <w:right w:val="nil"/>
          <w:between w:val="nil"/>
        </w:pBdr>
        <w:rPr>
          <w:color w:val="000000"/>
          <w:sz w:val="24"/>
          <w:szCs w:val="24"/>
        </w:rPr>
      </w:pPr>
      <w:r>
        <w:rPr>
          <w:rFonts w:ascii="Calibri" w:eastAsia="Calibri" w:hAnsi="Calibri" w:cs="Calibri"/>
          <w:color w:val="000000"/>
          <w:sz w:val="24"/>
          <w:szCs w:val="24"/>
        </w:rPr>
        <w:t>Phone calls and meetings can be arranged, and we try to maintain regular communication as much as possible throughout the student’s time at school.</w:t>
      </w:r>
    </w:p>
    <w:p w14:paraId="3BA05E76" w14:textId="77777777" w:rsidR="00A90BFA" w:rsidRDefault="00000000">
      <w:pPr>
        <w:pStyle w:val="Heading1"/>
        <w:rPr>
          <w:rFonts w:ascii="Calibri" w:eastAsia="Calibri" w:hAnsi="Calibri" w:cs="Calibri"/>
          <w:color w:val="000000"/>
          <w:sz w:val="24"/>
          <w:szCs w:val="24"/>
        </w:rPr>
      </w:pPr>
      <w:r>
        <w:rPr>
          <w:rFonts w:ascii="Calibri" w:eastAsia="Calibri" w:hAnsi="Calibri" w:cs="Calibri"/>
          <w:color w:val="000000"/>
          <w:sz w:val="24"/>
          <w:szCs w:val="24"/>
        </w:rPr>
        <w:t xml:space="preserve">How are </w:t>
      </w:r>
      <w:proofErr w:type="spellStart"/>
      <w:r>
        <w:rPr>
          <w:rFonts w:ascii="Calibri" w:eastAsia="Calibri" w:hAnsi="Calibri" w:cs="Calibri"/>
          <w:color w:val="000000"/>
          <w:sz w:val="24"/>
          <w:szCs w:val="24"/>
        </w:rPr>
        <w:t>the</w:t>
      </w:r>
      <w:proofErr w:type="spellEnd"/>
      <w:r>
        <w:rPr>
          <w:rFonts w:ascii="Calibri" w:eastAsia="Calibri" w:hAnsi="Calibri" w:cs="Calibri"/>
          <w:color w:val="000000"/>
          <w:sz w:val="24"/>
          <w:szCs w:val="24"/>
        </w:rPr>
        <w:t xml:space="preserve"> SEND resources allocated and matched to the individual child?</w:t>
      </w:r>
    </w:p>
    <w:p w14:paraId="1254B84D" w14:textId="77777777" w:rsidR="00A90BFA" w:rsidRDefault="00000000">
      <w:pPr>
        <w:numPr>
          <w:ilvl w:val="0"/>
          <w:numId w:val="8"/>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We ensure that all students who have SEND have their needs met to the best of the school’s ability with the funds available.  We have a team of dedicated staff who are funded through the SEND budget to deliver interventions and provisions to meet a variety of needs.</w:t>
      </w:r>
    </w:p>
    <w:p w14:paraId="572F16DF" w14:textId="77777777" w:rsidR="00A90BFA" w:rsidRDefault="00000000">
      <w:pPr>
        <w:numPr>
          <w:ilvl w:val="0"/>
          <w:numId w:val="8"/>
        </w:numPr>
        <w:pBdr>
          <w:top w:val="nil"/>
          <w:left w:val="nil"/>
          <w:bottom w:val="nil"/>
          <w:right w:val="nil"/>
          <w:between w:val="nil"/>
        </w:pBdr>
        <w:rPr>
          <w:color w:val="000000"/>
          <w:sz w:val="24"/>
          <w:szCs w:val="24"/>
        </w:rPr>
      </w:pPr>
      <w:r>
        <w:rPr>
          <w:rFonts w:ascii="Calibri" w:eastAsia="Calibri" w:hAnsi="Calibri" w:cs="Calibri"/>
          <w:color w:val="000000"/>
          <w:sz w:val="24"/>
          <w:szCs w:val="24"/>
        </w:rPr>
        <w:t xml:space="preserve">Where a child requires a higher level of provision that is unavailable within a mainstream setting, either physically or due to funding, an Education, Health and Care Plan will be discussed and explored with you and the Local Authority. </w:t>
      </w:r>
    </w:p>
    <w:p w14:paraId="448D4BFE" w14:textId="77777777" w:rsidR="00A90BFA" w:rsidRDefault="00000000">
      <w:pPr>
        <w:pStyle w:val="Heading1"/>
        <w:rPr>
          <w:rFonts w:ascii="Calibri" w:eastAsia="Calibri" w:hAnsi="Calibri" w:cs="Calibri"/>
          <w:color w:val="000000"/>
          <w:sz w:val="24"/>
          <w:szCs w:val="24"/>
        </w:rPr>
      </w:pPr>
      <w:r>
        <w:rPr>
          <w:rFonts w:ascii="Calibri" w:eastAsia="Calibri" w:hAnsi="Calibri" w:cs="Calibri"/>
          <w:color w:val="000000"/>
          <w:sz w:val="24"/>
          <w:szCs w:val="24"/>
        </w:rPr>
        <w:t>What support is available for my child’s wellbeing?</w:t>
      </w:r>
    </w:p>
    <w:p w14:paraId="7BA92716" w14:textId="77777777" w:rsidR="00A90BFA" w:rsidRDefault="00000000">
      <w:pPr>
        <w:numPr>
          <w:ilvl w:val="0"/>
          <w:numId w:val="8"/>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 xml:space="preserve">All staff are trained to deliver good quality pastoral support, with most teaching staff also being tutors.  Our approach is to ensure all students progress emotionally and socially, as well as academically. </w:t>
      </w:r>
    </w:p>
    <w:p w14:paraId="234D72B3" w14:textId="77777777" w:rsidR="00A90BFA" w:rsidRDefault="00000000">
      <w:pPr>
        <w:numPr>
          <w:ilvl w:val="0"/>
          <w:numId w:val="8"/>
        </w:numPr>
        <w:pBdr>
          <w:top w:val="nil"/>
          <w:left w:val="nil"/>
          <w:bottom w:val="nil"/>
          <w:right w:val="nil"/>
          <w:between w:val="nil"/>
        </w:pBdr>
        <w:rPr>
          <w:color w:val="000000"/>
          <w:sz w:val="24"/>
          <w:szCs w:val="24"/>
        </w:rPr>
      </w:pPr>
      <w:r>
        <w:rPr>
          <w:rFonts w:ascii="Calibri" w:eastAsia="Calibri" w:hAnsi="Calibri" w:cs="Calibri"/>
          <w:color w:val="000000"/>
          <w:sz w:val="24"/>
          <w:szCs w:val="24"/>
        </w:rPr>
        <w:t>Additional or targeted wellbeing support is available through the SEND and Pastoral teams, and may involve referrals to external agencies, such as CAMHS or the Local Authority.</w:t>
      </w:r>
    </w:p>
    <w:p w14:paraId="6D3612AB" w14:textId="77777777" w:rsidR="00A90BFA" w:rsidRDefault="00000000">
      <w:pPr>
        <w:pStyle w:val="Heading1"/>
        <w:rPr>
          <w:rFonts w:ascii="Calibri" w:eastAsia="Calibri" w:hAnsi="Calibri" w:cs="Calibri"/>
          <w:color w:val="000000"/>
          <w:sz w:val="24"/>
          <w:szCs w:val="24"/>
        </w:rPr>
      </w:pPr>
      <w:r>
        <w:rPr>
          <w:rFonts w:ascii="Calibri" w:eastAsia="Calibri" w:hAnsi="Calibri" w:cs="Calibri"/>
          <w:color w:val="000000"/>
          <w:sz w:val="24"/>
          <w:szCs w:val="24"/>
        </w:rPr>
        <w:t>What support is available for my child’s medical needs?</w:t>
      </w:r>
    </w:p>
    <w:p w14:paraId="4E771B90" w14:textId="77777777" w:rsidR="00A90BFA" w:rsidRDefault="00000000">
      <w:pPr>
        <w:numPr>
          <w:ilvl w:val="0"/>
          <w:numId w:val="8"/>
        </w:numPr>
        <w:pBdr>
          <w:top w:val="nil"/>
          <w:left w:val="nil"/>
          <w:bottom w:val="nil"/>
          <w:right w:val="nil"/>
          <w:between w:val="nil"/>
        </w:pBdr>
        <w:spacing w:after="0"/>
        <w:rPr>
          <w:color w:val="000000"/>
          <w:sz w:val="24"/>
          <w:szCs w:val="24"/>
        </w:rPr>
      </w:pPr>
      <w:hyperlink w:anchor="_heading=h.hvs8y6ff87ar">
        <w:r>
          <w:rPr>
            <w:rFonts w:ascii="Calibri" w:eastAsia="Calibri" w:hAnsi="Calibri" w:cs="Calibri"/>
            <w:color w:val="000000"/>
            <w:sz w:val="24"/>
            <w:szCs w:val="24"/>
          </w:rPr>
          <w:t xml:space="preserve">Click here: </w:t>
        </w:r>
      </w:hyperlink>
      <w:hyperlink w:anchor="_heading=h.hvs8y6ff87ar">
        <w:r>
          <w:rPr>
            <w:rFonts w:ascii="Calibri" w:eastAsia="Calibri" w:hAnsi="Calibri" w:cs="Calibri"/>
            <w:b/>
            <w:bCs/>
            <w:color w:val="000000"/>
            <w:sz w:val="24"/>
            <w:szCs w:val="24"/>
          </w:rPr>
          <w:t>Supporting Students with Medical Needs.</w:t>
        </w:r>
      </w:hyperlink>
    </w:p>
    <w:p w14:paraId="4A693D73" w14:textId="77777777" w:rsidR="00A90BFA" w:rsidRDefault="00000000">
      <w:pPr>
        <w:numPr>
          <w:ilvl w:val="0"/>
          <w:numId w:val="8"/>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Some students with medical needs may require a Health Care Plan, which is overseen by a dedicated member of staff, and includes specific provision as outlined by medical professionals.  This is usually for students who have conditions, such as diabetes or epilepsy.</w:t>
      </w:r>
    </w:p>
    <w:p w14:paraId="42675253" w14:textId="77777777" w:rsidR="00A90BFA" w:rsidRDefault="00000000">
      <w:pPr>
        <w:numPr>
          <w:ilvl w:val="0"/>
          <w:numId w:val="8"/>
        </w:numPr>
        <w:pBdr>
          <w:top w:val="nil"/>
          <w:left w:val="nil"/>
          <w:bottom w:val="nil"/>
          <w:right w:val="nil"/>
          <w:between w:val="nil"/>
        </w:pBdr>
        <w:rPr>
          <w:color w:val="000000"/>
          <w:sz w:val="24"/>
          <w:szCs w:val="24"/>
        </w:rPr>
      </w:pPr>
      <w:r>
        <w:rPr>
          <w:rFonts w:ascii="Calibri" w:eastAsia="Calibri" w:hAnsi="Calibri" w:cs="Calibri"/>
          <w:color w:val="000000"/>
          <w:sz w:val="24"/>
          <w:szCs w:val="24"/>
        </w:rPr>
        <w:t xml:space="preserve">School staff work closely with colleagues in the </w:t>
      </w:r>
      <w:proofErr w:type="gramStart"/>
      <w:r>
        <w:rPr>
          <w:rFonts w:ascii="Calibri" w:eastAsia="Calibri" w:hAnsi="Calibri" w:cs="Calibri"/>
          <w:color w:val="000000"/>
          <w:sz w:val="24"/>
          <w:szCs w:val="24"/>
        </w:rPr>
        <w:t>Health</w:t>
      </w:r>
      <w:proofErr w:type="gramEnd"/>
      <w:r>
        <w:rPr>
          <w:rFonts w:ascii="Calibri" w:eastAsia="Calibri" w:hAnsi="Calibri" w:cs="Calibri"/>
          <w:color w:val="000000"/>
          <w:sz w:val="24"/>
          <w:szCs w:val="24"/>
        </w:rPr>
        <w:t xml:space="preserve"> sector to ensure all students are fully supported and staff are trained to recognise and understand the difficulties.</w:t>
      </w:r>
    </w:p>
    <w:p w14:paraId="10CE0310" w14:textId="77777777" w:rsidR="00A90BFA" w:rsidRDefault="00000000">
      <w:pPr>
        <w:pStyle w:val="Heading1"/>
        <w:rPr>
          <w:rFonts w:ascii="Calibri" w:eastAsia="Calibri" w:hAnsi="Calibri" w:cs="Calibri"/>
          <w:color w:val="000000"/>
          <w:sz w:val="24"/>
          <w:szCs w:val="24"/>
        </w:rPr>
      </w:pPr>
      <w:r>
        <w:rPr>
          <w:rFonts w:ascii="Calibri" w:eastAsia="Calibri" w:hAnsi="Calibri" w:cs="Calibri"/>
          <w:color w:val="000000"/>
          <w:sz w:val="24"/>
          <w:szCs w:val="24"/>
        </w:rPr>
        <w:lastRenderedPageBreak/>
        <w:t>What training do staff receive on supporting students with SEND?</w:t>
      </w:r>
    </w:p>
    <w:p w14:paraId="4A58262C" w14:textId="77777777" w:rsidR="00A90BFA" w:rsidRDefault="00000000">
      <w:pPr>
        <w:numPr>
          <w:ilvl w:val="0"/>
          <w:numId w:val="8"/>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 xml:space="preserve">All staff receive annual update training on specific students who have Education, Health and Care Plans, or who have been identified as requiring a high level of support.  </w:t>
      </w:r>
    </w:p>
    <w:p w14:paraId="32BD4A04" w14:textId="77777777" w:rsidR="00A90BFA" w:rsidRDefault="00000000">
      <w:pPr>
        <w:numPr>
          <w:ilvl w:val="0"/>
          <w:numId w:val="8"/>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Staff also receive termly update training on the current school profile, including the SEND Register, Passports, and Quality First Teaching or Adaptive Teaching practice.</w:t>
      </w:r>
    </w:p>
    <w:p w14:paraId="22CD41BD" w14:textId="77777777" w:rsidR="00A90BFA" w:rsidRDefault="00000000">
      <w:pPr>
        <w:numPr>
          <w:ilvl w:val="0"/>
          <w:numId w:val="8"/>
        </w:numPr>
        <w:pBdr>
          <w:top w:val="nil"/>
          <w:left w:val="nil"/>
          <w:bottom w:val="nil"/>
          <w:right w:val="nil"/>
          <w:between w:val="nil"/>
        </w:pBdr>
        <w:rPr>
          <w:color w:val="000000"/>
          <w:sz w:val="24"/>
          <w:szCs w:val="24"/>
        </w:rPr>
      </w:pPr>
      <w:r>
        <w:rPr>
          <w:rFonts w:ascii="Calibri" w:eastAsia="Calibri" w:hAnsi="Calibri" w:cs="Calibri"/>
          <w:color w:val="000000"/>
          <w:sz w:val="24"/>
          <w:szCs w:val="24"/>
        </w:rPr>
        <w:t xml:space="preserve">SEND staff receive at least annual training on specific needs within their cohort, such as specific learning needs.  SEND staff are also supported to access fortnightly Continued Professional Development </w:t>
      </w:r>
      <w:r>
        <w:rPr>
          <w:rFonts w:ascii="Calibri" w:eastAsia="Calibri" w:hAnsi="Calibri" w:cs="Calibri"/>
          <w:sz w:val="24"/>
          <w:szCs w:val="24"/>
        </w:rPr>
        <w:t>in areas</w:t>
      </w:r>
      <w:r>
        <w:rPr>
          <w:rFonts w:ascii="Calibri" w:eastAsia="Calibri" w:hAnsi="Calibri" w:cs="Calibri"/>
          <w:color w:val="000000"/>
          <w:sz w:val="24"/>
          <w:szCs w:val="24"/>
        </w:rPr>
        <w:t xml:space="preserve"> of interest to them, or to support specific students they are working with.</w:t>
      </w:r>
    </w:p>
    <w:p w14:paraId="375FB1AC" w14:textId="77777777" w:rsidR="00A90BFA" w:rsidRDefault="00000000">
      <w:pPr>
        <w:pStyle w:val="Heading1"/>
        <w:rPr>
          <w:rFonts w:ascii="Calibri" w:eastAsia="Calibri" w:hAnsi="Calibri" w:cs="Calibri"/>
          <w:color w:val="000000"/>
          <w:sz w:val="24"/>
          <w:szCs w:val="24"/>
        </w:rPr>
      </w:pPr>
      <w:r>
        <w:rPr>
          <w:rFonts w:ascii="Calibri" w:eastAsia="Calibri" w:hAnsi="Calibri" w:cs="Calibri"/>
          <w:color w:val="000000"/>
          <w:sz w:val="24"/>
          <w:szCs w:val="24"/>
        </w:rPr>
        <w:t>How will my child be included in enrichment and extra-curricular activities?</w:t>
      </w:r>
    </w:p>
    <w:p w14:paraId="6D2FEE4C" w14:textId="77777777" w:rsidR="00A90BFA" w:rsidRDefault="00000000">
      <w:pPr>
        <w:numPr>
          <w:ilvl w:val="0"/>
          <w:numId w:val="8"/>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 xml:space="preserve">All staff running trips are trained by the school’s EVC and must complete risk assessments including specific details of how to support students with SEND. We will also work with the Local Authority where there are complex needs to consider. All students are encouraged to be fully involved in all areas of school life. </w:t>
      </w:r>
    </w:p>
    <w:p w14:paraId="62D5B924" w14:textId="77777777" w:rsidR="00A90BFA" w:rsidRDefault="00000000">
      <w:pPr>
        <w:numPr>
          <w:ilvl w:val="0"/>
          <w:numId w:val="8"/>
        </w:numPr>
        <w:pBdr>
          <w:top w:val="nil"/>
          <w:left w:val="nil"/>
          <w:bottom w:val="nil"/>
          <w:right w:val="nil"/>
          <w:between w:val="nil"/>
        </w:pBdr>
        <w:rPr>
          <w:color w:val="000000"/>
          <w:sz w:val="24"/>
          <w:szCs w:val="24"/>
        </w:rPr>
      </w:pPr>
      <w:r>
        <w:rPr>
          <w:rFonts w:ascii="Calibri" w:eastAsia="Calibri" w:hAnsi="Calibri" w:cs="Calibri"/>
          <w:color w:val="000000"/>
          <w:sz w:val="24"/>
          <w:szCs w:val="24"/>
        </w:rPr>
        <w:t>All clubs and trips are open to students in line with a suitable risk assessment being carried out. Individual arrangements will be discussed with parents/carers in advance.</w:t>
      </w:r>
    </w:p>
    <w:p w14:paraId="3C2C8AB2" w14:textId="77777777" w:rsidR="00A90BFA" w:rsidRDefault="00000000">
      <w:pPr>
        <w:pStyle w:val="Heading1"/>
        <w:rPr>
          <w:rFonts w:ascii="Calibri" w:eastAsia="Calibri" w:hAnsi="Calibri" w:cs="Calibri"/>
          <w:color w:val="000000"/>
          <w:sz w:val="24"/>
          <w:szCs w:val="24"/>
        </w:rPr>
      </w:pPr>
      <w:r>
        <w:rPr>
          <w:rFonts w:ascii="Calibri" w:eastAsia="Calibri" w:hAnsi="Calibri" w:cs="Calibri"/>
          <w:color w:val="000000"/>
          <w:sz w:val="24"/>
          <w:szCs w:val="24"/>
        </w:rPr>
        <w:t>How will you support my child to move on to the next stage, either continued education or employment? How do you support them to prepare for adulthood?</w:t>
      </w:r>
    </w:p>
    <w:p w14:paraId="13D1A8BB" w14:textId="77777777" w:rsidR="00A90BFA" w:rsidRDefault="00000000">
      <w:pPr>
        <w:numPr>
          <w:ilvl w:val="0"/>
          <w:numId w:val="6"/>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During KS4 all students receive advice on careers and are encouraged to visit colleges to explore post-16 courses; the school also runs additional visits to colleges to support students who wish to visit outside of school, but are unable to.</w:t>
      </w:r>
    </w:p>
    <w:p w14:paraId="6D42CE25" w14:textId="77777777" w:rsidR="00A90BFA" w:rsidRDefault="00000000">
      <w:pPr>
        <w:numPr>
          <w:ilvl w:val="0"/>
          <w:numId w:val="6"/>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 xml:space="preserve">Once college applications have been made, the SENDCo and representatives from the receiving colleges meet to discuss the students in detail, to ensure the transition is smooth. </w:t>
      </w:r>
    </w:p>
    <w:p w14:paraId="36EB54D5" w14:textId="77777777" w:rsidR="00A90BFA" w:rsidRDefault="00000000">
      <w:pPr>
        <w:pStyle w:val="Heading1"/>
        <w:rPr>
          <w:rFonts w:ascii="Calibri" w:eastAsia="Calibri" w:hAnsi="Calibri" w:cs="Calibri"/>
          <w:color w:val="000000"/>
          <w:sz w:val="24"/>
          <w:szCs w:val="24"/>
        </w:rPr>
      </w:pPr>
      <w:r>
        <w:rPr>
          <w:rFonts w:ascii="Calibri" w:eastAsia="Calibri" w:hAnsi="Calibri" w:cs="Calibri"/>
          <w:color w:val="000000"/>
          <w:sz w:val="24"/>
          <w:szCs w:val="24"/>
        </w:rPr>
        <w:t>What support is available for improving behaviour, attendance and avoiding exclusion?</w:t>
      </w:r>
    </w:p>
    <w:p w14:paraId="7D223EB9" w14:textId="77777777" w:rsidR="00A90BFA" w:rsidRDefault="00000000">
      <w:pPr>
        <w:numPr>
          <w:ilvl w:val="0"/>
          <w:numId w:val="9"/>
        </w:numPr>
        <w:pBdr>
          <w:top w:val="nil"/>
          <w:left w:val="nil"/>
          <w:bottom w:val="nil"/>
          <w:right w:val="nil"/>
          <w:between w:val="nil"/>
        </w:pBdr>
        <w:spacing w:after="0"/>
        <w:rPr>
          <w:color w:val="000000"/>
          <w:sz w:val="24"/>
          <w:szCs w:val="24"/>
        </w:rPr>
      </w:pPr>
      <w:r>
        <w:rPr>
          <w:rFonts w:ascii="Calibri" w:eastAsia="Calibri" w:hAnsi="Calibri" w:cs="Calibri"/>
          <w:color w:val="000000"/>
          <w:sz w:val="24"/>
          <w:szCs w:val="24"/>
        </w:rPr>
        <w:t>As a school we have a positive approach to all types of behaviour with a clear reward and sanction system that is followed by all staff. If a child has behavioural difficulties a Pastoral Support Plan is written alongside the child to identify the specific difficulties, put relevant support in place and set targets.</w:t>
      </w:r>
    </w:p>
    <w:p w14:paraId="25CD4D20" w14:textId="77777777" w:rsidR="00A90BFA" w:rsidRDefault="00000000">
      <w:pPr>
        <w:numPr>
          <w:ilvl w:val="0"/>
          <w:numId w:val="9"/>
        </w:numPr>
        <w:pBdr>
          <w:top w:val="nil"/>
          <w:left w:val="nil"/>
          <w:bottom w:val="nil"/>
          <w:right w:val="nil"/>
          <w:between w:val="nil"/>
        </w:pBdr>
        <w:rPr>
          <w:color w:val="000000"/>
          <w:sz w:val="24"/>
          <w:szCs w:val="24"/>
        </w:rPr>
      </w:pPr>
      <w:r>
        <w:rPr>
          <w:rFonts w:ascii="Calibri" w:eastAsia="Calibri" w:hAnsi="Calibri" w:cs="Calibri"/>
          <w:color w:val="000000"/>
          <w:sz w:val="24"/>
          <w:szCs w:val="24"/>
        </w:rPr>
        <w:t xml:space="preserve">Good attendance is actively encouraged throughout the school.  If a student’s attendance falls below 95%, contact will be made by the school in the form of letter and telephone call.  </w:t>
      </w:r>
      <w:r>
        <w:rPr>
          <w:rFonts w:ascii="Calibri" w:eastAsia="Calibri" w:hAnsi="Calibri" w:cs="Calibri"/>
          <w:sz w:val="24"/>
          <w:szCs w:val="24"/>
        </w:rPr>
        <w:t>We also liaise with appropriate Local Authority support.</w:t>
      </w:r>
    </w:p>
    <w:p w14:paraId="5014794D" w14:textId="77777777" w:rsidR="00A90BFA" w:rsidRDefault="00000000">
      <w:pPr>
        <w:pStyle w:val="Heading1"/>
        <w:rPr>
          <w:rFonts w:ascii="Calibri" w:eastAsia="Calibri" w:hAnsi="Calibri" w:cs="Calibri"/>
          <w:color w:val="000000"/>
          <w:sz w:val="24"/>
          <w:szCs w:val="24"/>
        </w:rPr>
      </w:pPr>
      <w:r>
        <w:rPr>
          <w:rFonts w:ascii="Calibri" w:eastAsia="Calibri" w:hAnsi="Calibri" w:cs="Calibri"/>
          <w:color w:val="000000"/>
          <w:sz w:val="24"/>
          <w:szCs w:val="24"/>
        </w:rPr>
        <w:t xml:space="preserve">How are the Governors involved and what are their responsibilities? </w:t>
      </w:r>
    </w:p>
    <w:p w14:paraId="3C7E4D0C" w14:textId="77777777" w:rsidR="00A90BFA" w:rsidRDefault="00000000">
      <w:pPr>
        <w:numPr>
          <w:ilvl w:val="0"/>
          <w:numId w:val="9"/>
        </w:numPr>
        <w:pBdr>
          <w:top w:val="nil"/>
          <w:left w:val="nil"/>
          <w:bottom w:val="nil"/>
          <w:right w:val="nil"/>
          <w:between w:val="nil"/>
        </w:pBdr>
        <w:spacing w:after="0"/>
        <w:rPr>
          <w:color w:val="000000"/>
          <w:sz w:val="24"/>
          <w:szCs w:val="24"/>
        </w:rPr>
      </w:pPr>
      <w:hyperlink w:anchor="_heading=h.hvs8y6ff87ar">
        <w:r>
          <w:rPr>
            <w:rFonts w:ascii="Calibri" w:eastAsia="Calibri" w:hAnsi="Calibri" w:cs="Calibri"/>
            <w:color w:val="000000"/>
            <w:sz w:val="24"/>
            <w:szCs w:val="24"/>
          </w:rPr>
          <w:t xml:space="preserve">Click here: </w:t>
        </w:r>
      </w:hyperlink>
      <w:hyperlink w:anchor="_heading=h.hvs8y6ff87ar">
        <w:r>
          <w:rPr>
            <w:rFonts w:ascii="Calibri" w:eastAsia="Calibri" w:hAnsi="Calibri" w:cs="Calibri"/>
            <w:b/>
            <w:bCs/>
            <w:color w:val="000000"/>
            <w:sz w:val="24"/>
            <w:szCs w:val="24"/>
          </w:rPr>
          <w:t>SEND Governor contact details</w:t>
        </w:r>
      </w:hyperlink>
    </w:p>
    <w:p w14:paraId="545EA98A" w14:textId="77777777" w:rsidR="00A90BFA" w:rsidRDefault="00000000">
      <w:pPr>
        <w:numPr>
          <w:ilvl w:val="0"/>
          <w:numId w:val="9"/>
        </w:numPr>
        <w:pBdr>
          <w:top w:val="nil"/>
          <w:left w:val="nil"/>
          <w:bottom w:val="nil"/>
          <w:right w:val="nil"/>
          <w:between w:val="nil"/>
        </w:pBdr>
        <w:rPr>
          <w:color w:val="000000"/>
          <w:sz w:val="24"/>
          <w:szCs w:val="24"/>
        </w:rPr>
      </w:pPr>
      <w:r>
        <w:rPr>
          <w:rFonts w:ascii="Calibri" w:eastAsia="Calibri" w:hAnsi="Calibri" w:cs="Calibri"/>
          <w:color w:val="000000"/>
          <w:sz w:val="24"/>
          <w:szCs w:val="24"/>
        </w:rPr>
        <w:t xml:space="preserve">An assigned Governor is responsible for SEND and liaises with the SENDCo on a regular basis.  The SENDCo provides information to the Governors annually to enable them to scrutinise the provision and resources and ensure it maintains high standards.  They do not have information regarding specific students, and they are not involved in individual assessments or case studies. </w:t>
      </w:r>
    </w:p>
    <w:p w14:paraId="4E9AE75A" w14:textId="77777777" w:rsidR="00A90BFA" w:rsidRDefault="00000000">
      <w:pPr>
        <w:pStyle w:val="Heading1"/>
        <w:rPr>
          <w:rFonts w:ascii="Calibri" w:eastAsia="Calibri" w:hAnsi="Calibri" w:cs="Calibri"/>
          <w:color w:val="000000"/>
          <w:sz w:val="24"/>
          <w:szCs w:val="24"/>
        </w:rPr>
      </w:pPr>
      <w:r>
        <w:rPr>
          <w:rFonts w:ascii="Calibri" w:eastAsia="Calibri" w:hAnsi="Calibri" w:cs="Calibri"/>
          <w:color w:val="000000"/>
          <w:sz w:val="24"/>
          <w:szCs w:val="24"/>
        </w:rPr>
        <w:t xml:space="preserve">How is the Trust Director for SEND involved and what are their responsibilities? </w:t>
      </w:r>
    </w:p>
    <w:p w14:paraId="27AA47D5" w14:textId="77777777" w:rsidR="00A90BFA" w:rsidRDefault="00000000">
      <w:pPr>
        <w:numPr>
          <w:ilvl w:val="0"/>
          <w:numId w:val="9"/>
        </w:numPr>
        <w:pBdr>
          <w:top w:val="nil"/>
          <w:left w:val="nil"/>
          <w:bottom w:val="nil"/>
          <w:right w:val="nil"/>
          <w:between w:val="nil"/>
        </w:pBdr>
        <w:spacing w:after="0"/>
        <w:rPr>
          <w:color w:val="000000"/>
          <w:sz w:val="24"/>
          <w:szCs w:val="24"/>
        </w:rPr>
      </w:pPr>
      <w:hyperlink w:anchor="_heading=h.hvs8y6ff87ar">
        <w:r>
          <w:rPr>
            <w:rFonts w:ascii="Calibri" w:eastAsia="Calibri" w:hAnsi="Calibri" w:cs="Calibri"/>
            <w:color w:val="000000"/>
            <w:sz w:val="24"/>
            <w:szCs w:val="24"/>
          </w:rPr>
          <w:t xml:space="preserve">Click here: </w:t>
        </w:r>
      </w:hyperlink>
      <w:hyperlink w:anchor="_heading=h.hvs8y6ff87ar">
        <w:r>
          <w:rPr>
            <w:rFonts w:ascii="Calibri" w:eastAsia="Calibri" w:hAnsi="Calibri" w:cs="Calibri"/>
            <w:b/>
            <w:bCs/>
            <w:color w:val="000000"/>
            <w:sz w:val="24"/>
            <w:szCs w:val="24"/>
          </w:rPr>
          <w:t>Trust Director contact details</w:t>
        </w:r>
      </w:hyperlink>
    </w:p>
    <w:p w14:paraId="4A926B94" w14:textId="77777777" w:rsidR="00A90BFA" w:rsidRDefault="00000000">
      <w:pPr>
        <w:numPr>
          <w:ilvl w:val="0"/>
          <w:numId w:val="9"/>
        </w:numPr>
        <w:pBdr>
          <w:top w:val="nil"/>
          <w:left w:val="nil"/>
          <w:bottom w:val="nil"/>
          <w:right w:val="nil"/>
          <w:between w:val="nil"/>
        </w:pBdr>
        <w:rPr>
          <w:color w:val="000000"/>
          <w:sz w:val="24"/>
          <w:szCs w:val="24"/>
        </w:rPr>
      </w:pPr>
      <w:r>
        <w:rPr>
          <w:rFonts w:ascii="Calibri" w:eastAsia="Calibri" w:hAnsi="Calibri" w:cs="Calibri"/>
          <w:color w:val="000000"/>
          <w:sz w:val="24"/>
          <w:szCs w:val="24"/>
        </w:rPr>
        <w:t>The Trust Director provides strategic leadership across the Trust to ensure excellence of the SEND provision through implementation of the SEND Policy and statutory compliance.  They provide operational and strategic support for SENDCos and SEND teams, including providing opportunities for sharing practice amongst all schools, and bringing in external experts and resources to further develop the provision.</w:t>
      </w:r>
    </w:p>
    <w:sectPr w:rsidR="00A90BFA">
      <w:type w:val="continuous"/>
      <w:pgSz w:w="11906" w:h="16838"/>
      <w:pgMar w:top="720" w:right="720" w:bottom="720" w:left="72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EDBAB706-E321-48BA-A544-36A00744BE6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534CDFB6-C4B8-4EE1-8D27-79C379D018CA}"/>
    <w:embedBold r:id="rId3" w:fontKey="{92B750DD-A1BE-43FF-8E70-4DEA75D186B4}"/>
    <w:embedItalic r:id="rId4" w:fontKey="{A88AC4A1-E3F8-4C26-A9E7-EDBAA0F76817}"/>
  </w:font>
  <w:font w:name="Play">
    <w:charset w:val="00"/>
    <w:family w:val="auto"/>
    <w:pitch w:val="default"/>
    <w:embedRegular r:id="rId5" w:fontKey="{B1ECC823-4FFA-4F61-8CEF-659C15F7306E}"/>
    <w:embedItalic r:id="rId6" w:fontKey="{B25826E0-6560-4ACC-B47A-B0AB6CF97E22}"/>
  </w:font>
  <w:font w:name="Aptos Display">
    <w:charset w:val="00"/>
    <w:family w:val="swiss"/>
    <w:pitch w:val="variable"/>
    <w:sig w:usb0="20000287" w:usb1="00000003" w:usb2="00000000" w:usb3="00000000" w:csb0="0000019F" w:csb1="00000000"/>
    <w:embedRegular r:id="rId7" w:fontKey="{C26E60F5-A143-4EA9-819E-DE0CAE94ACB2}"/>
    <w:embedBold r:id="rId8" w:fontKey="{67C2E77B-0470-4F55-963B-AD78DA3B82A4}"/>
    <w:embedItalic r:id="rId9" w:fontKey="{A83B6220-12C4-4B8F-876D-1016AD4B8E17}"/>
    <w:embedBoldItalic r:id="rId10" w:fontKey="{8880BBA8-968A-4710-BE11-DD46B6170F83}"/>
  </w:font>
  <w:font w:name="Calibri">
    <w:panose1 w:val="020F0502020204030204"/>
    <w:charset w:val="00"/>
    <w:family w:val="swiss"/>
    <w:pitch w:val="variable"/>
    <w:sig w:usb0="E4002EFF" w:usb1="C200247B" w:usb2="00000009" w:usb3="00000000" w:csb0="000001FF" w:csb1="00000000"/>
    <w:embedRegular r:id="rId11" w:fontKey="{B14BDC98-4BB2-4F2E-82AF-6E135E58F40F}"/>
    <w:embedBold r:id="rId12" w:fontKey="{E0E77BA7-E958-4D1A-8CE7-9F8F7DC5198C}"/>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B47A0"/>
    <w:multiLevelType w:val="multilevel"/>
    <w:tmpl w:val="2FBA3B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AB2A66"/>
    <w:multiLevelType w:val="multilevel"/>
    <w:tmpl w:val="8932DC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6225B0"/>
    <w:multiLevelType w:val="multilevel"/>
    <w:tmpl w:val="1B364E74"/>
    <w:lvl w:ilvl="0">
      <w:start w:val="1"/>
      <w:numFmt w:val="bullet"/>
      <w:pStyle w:val="Style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CEA3803"/>
    <w:multiLevelType w:val="multilevel"/>
    <w:tmpl w:val="11B0F00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38CE7CA7"/>
    <w:multiLevelType w:val="multilevel"/>
    <w:tmpl w:val="B6C8C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92D3BC0"/>
    <w:multiLevelType w:val="multilevel"/>
    <w:tmpl w:val="02C8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558100F"/>
    <w:multiLevelType w:val="multilevel"/>
    <w:tmpl w:val="8E18CD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9A943CF"/>
    <w:multiLevelType w:val="multilevel"/>
    <w:tmpl w:val="3502D5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F281FDD"/>
    <w:multiLevelType w:val="multilevel"/>
    <w:tmpl w:val="0FC8D9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96653961">
    <w:abstractNumId w:val="3"/>
  </w:num>
  <w:num w:numId="2" w16cid:durableId="417026506">
    <w:abstractNumId w:val="7"/>
  </w:num>
  <w:num w:numId="3" w16cid:durableId="310016356">
    <w:abstractNumId w:val="2"/>
  </w:num>
  <w:num w:numId="4" w16cid:durableId="2113088304">
    <w:abstractNumId w:val="1"/>
  </w:num>
  <w:num w:numId="5" w16cid:durableId="1939871527">
    <w:abstractNumId w:val="4"/>
  </w:num>
  <w:num w:numId="6" w16cid:durableId="1810659568">
    <w:abstractNumId w:val="0"/>
  </w:num>
  <w:num w:numId="7" w16cid:durableId="1178347962">
    <w:abstractNumId w:val="6"/>
  </w:num>
  <w:num w:numId="8" w16cid:durableId="962419326">
    <w:abstractNumId w:val="5"/>
  </w:num>
  <w:num w:numId="9" w16cid:durableId="629935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BFA"/>
    <w:rsid w:val="006E78F7"/>
    <w:rsid w:val="009F0779"/>
    <w:rsid w:val="00A90B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0A92E"/>
  <w15:docId w15:val="{B871A3D9-6903-4FA9-A239-10E12A9E7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lang w:val="en-GB" w:eastAsia="en-GB"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20" w:after="0" w:line="240" w:lineRule="auto"/>
      <w:outlineLvl w:val="0"/>
    </w:pPr>
    <w:rPr>
      <w:rFonts w:ascii="Play" w:eastAsia="Play" w:hAnsi="Play" w:cs="Play"/>
      <w:color w:val="0F4761"/>
      <w:sz w:val="32"/>
      <w:szCs w:val="32"/>
    </w:rPr>
  </w:style>
  <w:style w:type="paragraph" w:styleId="Heading2">
    <w:name w:val="heading 2"/>
    <w:basedOn w:val="Normal"/>
    <w:next w:val="Normal"/>
    <w:link w:val="Heading2Char"/>
    <w:uiPriority w:val="9"/>
    <w:semiHidden/>
    <w:unhideWhenUsed/>
    <w:qFormat/>
    <w:pPr>
      <w:keepNext/>
      <w:keepLines/>
      <w:spacing w:before="80" w:after="0" w:line="240" w:lineRule="auto"/>
      <w:outlineLvl w:val="1"/>
    </w:pPr>
    <w:rPr>
      <w:rFonts w:ascii="Play" w:eastAsia="Play" w:hAnsi="Play" w:cs="Play"/>
      <w:color w:val="404040"/>
      <w:sz w:val="28"/>
      <w:szCs w:val="28"/>
    </w:rPr>
  </w:style>
  <w:style w:type="paragraph" w:styleId="Heading3">
    <w:name w:val="heading 3"/>
    <w:basedOn w:val="Normal"/>
    <w:next w:val="Normal"/>
    <w:link w:val="Heading3Char"/>
    <w:uiPriority w:val="9"/>
    <w:semiHidden/>
    <w:unhideWhenUsed/>
    <w:qFormat/>
    <w:pPr>
      <w:keepNext/>
      <w:keepLines/>
      <w:spacing w:before="40" w:after="0" w:line="240" w:lineRule="auto"/>
      <w:outlineLvl w:val="2"/>
    </w:pPr>
    <w:rPr>
      <w:rFonts w:ascii="Play" w:eastAsia="Play" w:hAnsi="Play" w:cs="Play"/>
      <w:color w:val="0E2841"/>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Play" w:eastAsia="Play" w:hAnsi="Play" w:cs="Play"/>
      <w:sz w:val="22"/>
      <w:szCs w:val="22"/>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Play" w:eastAsia="Play" w:hAnsi="Play" w:cs="Play"/>
      <w:color w:val="0E2841"/>
      <w:sz w:val="22"/>
      <w:szCs w:val="22"/>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Play" w:eastAsia="Play" w:hAnsi="Play" w:cs="Play"/>
      <w:i/>
      <w:iCs/>
      <w:color w:val="0E2841"/>
      <w:sz w:val="21"/>
      <w:szCs w:val="21"/>
    </w:rPr>
  </w:style>
  <w:style w:type="paragraph" w:styleId="Heading7">
    <w:name w:val="heading 7"/>
    <w:basedOn w:val="Normal"/>
    <w:next w:val="Normal"/>
    <w:link w:val="Heading7Char"/>
    <w:uiPriority w:val="9"/>
    <w:semiHidden/>
    <w:unhideWhenUsed/>
    <w:qFormat/>
    <w:rsid w:val="00D43C37"/>
    <w:pPr>
      <w:keepNext/>
      <w:keepLines/>
      <w:spacing w:before="40" w:after="0"/>
      <w:outlineLvl w:val="6"/>
    </w:pPr>
    <w:rPr>
      <w:rFonts w:asciiTheme="majorHAnsi" w:eastAsiaTheme="majorEastAsia" w:hAnsiTheme="majorHAnsi" w:cstheme="majorBidi"/>
      <w:i/>
      <w:iCs/>
      <w:color w:val="0A2F41" w:themeColor="accent1" w:themeShade="80"/>
      <w:sz w:val="21"/>
      <w:szCs w:val="21"/>
    </w:rPr>
  </w:style>
  <w:style w:type="paragraph" w:styleId="Heading8">
    <w:name w:val="heading 8"/>
    <w:basedOn w:val="Normal"/>
    <w:next w:val="Normal"/>
    <w:link w:val="Heading8Char"/>
    <w:uiPriority w:val="9"/>
    <w:semiHidden/>
    <w:unhideWhenUsed/>
    <w:qFormat/>
    <w:rsid w:val="00D43C37"/>
    <w:pPr>
      <w:keepNext/>
      <w:keepLines/>
      <w:spacing w:before="40" w:after="0"/>
      <w:outlineLvl w:val="7"/>
    </w:pPr>
    <w:rPr>
      <w:rFonts w:asciiTheme="majorHAnsi" w:eastAsiaTheme="majorEastAsia" w:hAnsiTheme="majorHAnsi" w:cstheme="majorBidi"/>
      <w:b/>
      <w:bCs/>
      <w:color w:val="0E2841" w:themeColor="text2"/>
    </w:rPr>
  </w:style>
  <w:style w:type="paragraph" w:styleId="Heading9">
    <w:name w:val="heading 9"/>
    <w:basedOn w:val="Normal"/>
    <w:next w:val="Normal"/>
    <w:link w:val="Heading9Char"/>
    <w:uiPriority w:val="9"/>
    <w:semiHidden/>
    <w:unhideWhenUsed/>
    <w:qFormat/>
    <w:rsid w:val="00D43C37"/>
    <w:pPr>
      <w:keepNext/>
      <w:keepLines/>
      <w:spacing w:before="40" w:after="0"/>
      <w:outlineLvl w:val="8"/>
    </w:pPr>
    <w:rPr>
      <w:rFonts w:asciiTheme="majorHAnsi" w:eastAsiaTheme="majorEastAsia" w:hAnsiTheme="majorHAnsi" w:cstheme="majorBidi"/>
      <w:b/>
      <w:bCs/>
      <w:i/>
      <w:iCs/>
      <w:color w:val="0E2841"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rFonts w:ascii="Play" w:eastAsia="Play" w:hAnsi="Play" w:cs="Play"/>
      <w:color w:val="156082"/>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D43C37"/>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D43C37"/>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D43C37"/>
    <w:rPr>
      <w:rFonts w:asciiTheme="majorHAnsi" w:eastAsiaTheme="majorEastAsia" w:hAnsiTheme="majorHAnsi" w:cstheme="majorBidi"/>
      <w:color w:val="0E2841" w:themeColor="text2"/>
      <w:sz w:val="24"/>
      <w:szCs w:val="24"/>
    </w:rPr>
  </w:style>
  <w:style w:type="character" w:customStyle="1" w:styleId="Heading4Char">
    <w:name w:val="Heading 4 Char"/>
    <w:basedOn w:val="DefaultParagraphFont"/>
    <w:link w:val="Heading4"/>
    <w:uiPriority w:val="9"/>
    <w:semiHidden/>
    <w:rsid w:val="00D43C37"/>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D43C37"/>
    <w:rPr>
      <w:rFonts w:asciiTheme="majorHAnsi" w:eastAsiaTheme="majorEastAsia" w:hAnsiTheme="majorHAnsi" w:cstheme="majorBidi"/>
      <w:color w:val="0E2841" w:themeColor="text2"/>
      <w:sz w:val="22"/>
      <w:szCs w:val="22"/>
    </w:rPr>
  </w:style>
  <w:style w:type="character" w:customStyle="1" w:styleId="Heading6Char">
    <w:name w:val="Heading 6 Char"/>
    <w:basedOn w:val="DefaultParagraphFont"/>
    <w:link w:val="Heading6"/>
    <w:uiPriority w:val="9"/>
    <w:semiHidden/>
    <w:rsid w:val="00D43C37"/>
    <w:rPr>
      <w:rFonts w:asciiTheme="majorHAnsi" w:eastAsiaTheme="majorEastAsia" w:hAnsiTheme="majorHAnsi" w:cstheme="majorBidi"/>
      <w:i/>
      <w:iCs/>
      <w:color w:val="0E2841" w:themeColor="text2"/>
      <w:sz w:val="21"/>
      <w:szCs w:val="21"/>
    </w:rPr>
  </w:style>
  <w:style w:type="character" w:customStyle="1" w:styleId="Heading7Char">
    <w:name w:val="Heading 7 Char"/>
    <w:basedOn w:val="DefaultParagraphFont"/>
    <w:link w:val="Heading7"/>
    <w:uiPriority w:val="9"/>
    <w:semiHidden/>
    <w:rsid w:val="00D43C37"/>
    <w:rPr>
      <w:rFonts w:asciiTheme="majorHAnsi" w:eastAsiaTheme="majorEastAsia" w:hAnsiTheme="majorHAnsi" w:cstheme="majorBidi"/>
      <w:i/>
      <w:iCs/>
      <w:color w:val="0A2F41" w:themeColor="accent1" w:themeShade="80"/>
      <w:sz w:val="21"/>
      <w:szCs w:val="21"/>
    </w:rPr>
  </w:style>
  <w:style w:type="character" w:customStyle="1" w:styleId="Heading8Char">
    <w:name w:val="Heading 8 Char"/>
    <w:basedOn w:val="DefaultParagraphFont"/>
    <w:link w:val="Heading8"/>
    <w:uiPriority w:val="9"/>
    <w:semiHidden/>
    <w:rsid w:val="00D43C37"/>
    <w:rPr>
      <w:rFonts w:asciiTheme="majorHAnsi" w:eastAsiaTheme="majorEastAsia" w:hAnsiTheme="majorHAnsi" w:cstheme="majorBidi"/>
      <w:b/>
      <w:bCs/>
      <w:color w:val="0E2841" w:themeColor="text2"/>
    </w:rPr>
  </w:style>
  <w:style w:type="character" w:customStyle="1" w:styleId="Heading9Char">
    <w:name w:val="Heading 9 Char"/>
    <w:basedOn w:val="DefaultParagraphFont"/>
    <w:link w:val="Heading9"/>
    <w:uiPriority w:val="9"/>
    <w:semiHidden/>
    <w:rsid w:val="00D43C37"/>
    <w:rPr>
      <w:rFonts w:asciiTheme="majorHAnsi" w:eastAsiaTheme="majorEastAsia" w:hAnsiTheme="majorHAnsi" w:cstheme="majorBidi"/>
      <w:b/>
      <w:bCs/>
      <w:i/>
      <w:iCs/>
      <w:color w:val="0E2841" w:themeColor="text2"/>
    </w:rPr>
  </w:style>
  <w:style w:type="character" w:customStyle="1" w:styleId="TitleChar">
    <w:name w:val="Title Char"/>
    <w:basedOn w:val="DefaultParagraphFont"/>
    <w:link w:val="Title"/>
    <w:uiPriority w:val="10"/>
    <w:rsid w:val="00D43C37"/>
    <w:rPr>
      <w:rFonts w:asciiTheme="majorHAnsi" w:eastAsiaTheme="majorEastAsia" w:hAnsiTheme="majorHAnsi" w:cstheme="majorBidi"/>
      <w:color w:val="156082" w:themeColor="accent1"/>
      <w:spacing w:val="-10"/>
      <w:sz w:val="56"/>
      <w:szCs w:val="56"/>
    </w:rPr>
  </w:style>
  <w:style w:type="character" w:customStyle="1" w:styleId="SubtitleChar">
    <w:name w:val="Subtitle Char"/>
    <w:basedOn w:val="DefaultParagraphFont"/>
    <w:link w:val="Subtitle"/>
    <w:uiPriority w:val="11"/>
    <w:rsid w:val="00D43C37"/>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D43C37"/>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D43C37"/>
    <w:rPr>
      <w:i/>
      <w:iCs/>
      <w:color w:val="404040" w:themeColor="text1" w:themeTint="BF"/>
    </w:rPr>
  </w:style>
  <w:style w:type="paragraph" w:styleId="ListParagraph">
    <w:name w:val="List Paragraph"/>
    <w:basedOn w:val="Normal"/>
    <w:link w:val="ListParagraphChar"/>
    <w:uiPriority w:val="34"/>
    <w:qFormat/>
    <w:rsid w:val="00B309D1"/>
    <w:pPr>
      <w:ind w:left="720"/>
      <w:contextualSpacing/>
    </w:pPr>
  </w:style>
  <w:style w:type="character" w:styleId="IntenseEmphasis">
    <w:name w:val="Intense Emphasis"/>
    <w:basedOn w:val="DefaultParagraphFont"/>
    <w:uiPriority w:val="21"/>
    <w:qFormat/>
    <w:rsid w:val="00D43C37"/>
    <w:rPr>
      <w:b/>
      <w:bCs/>
      <w:i/>
      <w:iCs/>
    </w:rPr>
  </w:style>
  <w:style w:type="paragraph" w:styleId="IntenseQuote">
    <w:name w:val="Intense Quote"/>
    <w:basedOn w:val="Normal"/>
    <w:next w:val="Normal"/>
    <w:link w:val="IntenseQuoteChar"/>
    <w:uiPriority w:val="30"/>
    <w:qFormat/>
    <w:rsid w:val="00D43C37"/>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D43C37"/>
    <w:rPr>
      <w:rFonts w:asciiTheme="majorHAnsi" w:eastAsiaTheme="majorEastAsia" w:hAnsiTheme="majorHAnsi" w:cstheme="majorBidi"/>
      <w:color w:val="156082" w:themeColor="accent1"/>
      <w:sz w:val="28"/>
      <w:szCs w:val="28"/>
    </w:rPr>
  </w:style>
  <w:style w:type="character" w:styleId="IntenseReference">
    <w:name w:val="Intense Reference"/>
    <w:basedOn w:val="DefaultParagraphFont"/>
    <w:uiPriority w:val="32"/>
    <w:qFormat/>
    <w:rsid w:val="00D43C37"/>
    <w:rPr>
      <w:b/>
      <w:bCs/>
      <w:smallCaps/>
      <w:spacing w:val="5"/>
      <w:u w:val="single"/>
    </w:rPr>
  </w:style>
  <w:style w:type="character" w:styleId="Hyperlink">
    <w:name w:val="Hyperlink"/>
    <w:basedOn w:val="DefaultParagraphFont"/>
    <w:uiPriority w:val="99"/>
    <w:unhideWhenUsed/>
    <w:rsid w:val="007A7085"/>
    <w:rPr>
      <w:color w:val="467886" w:themeColor="hyperlink"/>
      <w:u w:val="single"/>
    </w:rPr>
  </w:style>
  <w:style w:type="character" w:styleId="UnresolvedMention">
    <w:name w:val="Unresolved Mention"/>
    <w:basedOn w:val="DefaultParagraphFont"/>
    <w:uiPriority w:val="99"/>
    <w:semiHidden/>
    <w:unhideWhenUsed/>
    <w:rsid w:val="007A7085"/>
    <w:rPr>
      <w:color w:val="605E5C"/>
      <w:shd w:val="clear" w:color="auto" w:fill="E1DFDD"/>
    </w:rPr>
  </w:style>
  <w:style w:type="table" w:styleId="TableGrid">
    <w:name w:val="Table Grid"/>
    <w:basedOn w:val="TableNormal"/>
    <w:uiPriority w:val="39"/>
    <w:rsid w:val="008C77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D43C37"/>
    <w:pPr>
      <w:spacing w:line="240" w:lineRule="auto"/>
    </w:pPr>
    <w:rPr>
      <w:b/>
      <w:bCs/>
      <w:smallCaps/>
      <w:color w:val="595959" w:themeColor="text1" w:themeTint="A6"/>
      <w:spacing w:val="6"/>
    </w:rPr>
  </w:style>
  <w:style w:type="character" w:styleId="Strong">
    <w:name w:val="Strong"/>
    <w:basedOn w:val="DefaultParagraphFont"/>
    <w:uiPriority w:val="22"/>
    <w:qFormat/>
    <w:rsid w:val="00D43C37"/>
    <w:rPr>
      <w:b/>
      <w:bCs/>
    </w:rPr>
  </w:style>
  <w:style w:type="character" w:styleId="Emphasis">
    <w:name w:val="Emphasis"/>
    <w:basedOn w:val="DefaultParagraphFont"/>
    <w:uiPriority w:val="20"/>
    <w:qFormat/>
    <w:rsid w:val="00D43C37"/>
    <w:rPr>
      <w:i/>
      <w:iCs/>
    </w:rPr>
  </w:style>
  <w:style w:type="paragraph" w:styleId="NoSpacing">
    <w:name w:val="No Spacing"/>
    <w:uiPriority w:val="1"/>
    <w:qFormat/>
    <w:rsid w:val="00D43C37"/>
    <w:pPr>
      <w:spacing w:after="0" w:line="240" w:lineRule="auto"/>
    </w:pPr>
  </w:style>
  <w:style w:type="character" w:styleId="SubtleEmphasis">
    <w:name w:val="Subtle Emphasis"/>
    <w:basedOn w:val="DefaultParagraphFont"/>
    <w:uiPriority w:val="19"/>
    <w:qFormat/>
    <w:rsid w:val="00D43C37"/>
    <w:rPr>
      <w:i/>
      <w:iCs/>
      <w:color w:val="404040" w:themeColor="text1" w:themeTint="BF"/>
    </w:rPr>
  </w:style>
  <w:style w:type="character" w:styleId="SubtleReference">
    <w:name w:val="Subtle Reference"/>
    <w:basedOn w:val="DefaultParagraphFont"/>
    <w:uiPriority w:val="31"/>
    <w:qFormat/>
    <w:rsid w:val="00D43C37"/>
    <w:rPr>
      <w:smallCaps/>
      <w:color w:val="404040" w:themeColor="text1" w:themeTint="BF"/>
      <w:u w:val="single" w:color="7F7F7F" w:themeColor="text1" w:themeTint="80"/>
    </w:rPr>
  </w:style>
  <w:style w:type="character" w:styleId="BookTitle">
    <w:name w:val="Book Title"/>
    <w:basedOn w:val="DefaultParagraphFont"/>
    <w:uiPriority w:val="33"/>
    <w:qFormat/>
    <w:rsid w:val="00D43C37"/>
    <w:rPr>
      <w:b/>
      <w:bCs/>
      <w:smallCaps/>
    </w:rPr>
  </w:style>
  <w:style w:type="paragraph" w:styleId="TOCHeading">
    <w:name w:val="TOC Heading"/>
    <w:basedOn w:val="Heading1"/>
    <w:next w:val="Normal"/>
    <w:uiPriority w:val="39"/>
    <w:semiHidden/>
    <w:unhideWhenUsed/>
    <w:qFormat/>
    <w:rsid w:val="00D43C37"/>
    <w:pPr>
      <w:outlineLvl w:val="9"/>
    </w:pPr>
  </w:style>
  <w:style w:type="paragraph" w:customStyle="1" w:styleId="Style1">
    <w:name w:val="Style1"/>
    <w:basedOn w:val="ListParagraph"/>
    <w:link w:val="Style1Char"/>
    <w:qFormat/>
    <w:rsid w:val="00B342D9"/>
    <w:pPr>
      <w:numPr>
        <w:numId w:val="3"/>
      </w:numPr>
    </w:pPr>
    <w:rPr>
      <w:rFonts w:ascii="Calibri" w:hAnsi="Calibri" w:cs="Calibri"/>
      <w:sz w:val="24"/>
      <w:szCs w:val="24"/>
    </w:rPr>
  </w:style>
  <w:style w:type="character" w:customStyle="1" w:styleId="ListParagraphChar">
    <w:name w:val="List Paragraph Char"/>
    <w:basedOn w:val="DefaultParagraphFont"/>
    <w:link w:val="ListParagraph"/>
    <w:uiPriority w:val="34"/>
    <w:rsid w:val="00B342D9"/>
  </w:style>
  <w:style w:type="character" w:customStyle="1" w:styleId="Style1Char">
    <w:name w:val="Style1 Char"/>
    <w:basedOn w:val="ListParagraphChar"/>
    <w:link w:val="Style1"/>
    <w:rsid w:val="00B342D9"/>
    <w:rPr>
      <w:rFonts w:ascii="Calibri" w:hAnsi="Calibri" w:cs="Calibri"/>
      <w:sz w:val="24"/>
      <w:szCs w:val="24"/>
    </w:rPr>
  </w:style>
  <w:style w:type="character" w:styleId="FollowedHyperlink">
    <w:name w:val="FollowedHyperlink"/>
    <w:basedOn w:val="DefaultParagraphFont"/>
    <w:uiPriority w:val="99"/>
    <w:semiHidden/>
    <w:unhideWhenUsed/>
    <w:rsid w:val="003750E0"/>
    <w:rPr>
      <w:color w:val="96607D" w:themeColor="followedHyperlink"/>
      <w:u w:val="single"/>
    </w:rPr>
  </w:style>
  <w:style w:type="paragraph" w:styleId="Subtitle">
    <w:name w:val="Subtitle"/>
    <w:basedOn w:val="Normal"/>
    <w:next w:val="Normal"/>
    <w:link w:val="SubtitleChar"/>
    <w:uiPriority w:val="11"/>
    <w:qFormat/>
    <w:pPr>
      <w:spacing w:line="240" w:lineRule="auto"/>
    </w:pPr>
    <w:rPr>
      <w:rFonts w:ascii="Play" w:eastAsia="Play" w:hAnsi="Play" w:cs="Play"/>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https://www.gov.uk/government/publications/send-code-of-practice-0-to-2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busby@priorysouthsea.org" TargetMode="External"/><Relationship Id="rId12" Type="http://schemas.openxmlformats.org/officeDocument/2006/relationships/hyperlink" Target="https://portsmouthlocaloffer.org/" TargetMode="External"/><Relationship Id="rId17" Type="http://schemas.openxmlformats.org/officeDocument/2006/relationships/hyperlink" Target="https://www.nice.org.uk" TargetMode="External"/><Relationship Id="rId2" Type="http://schemas.openxmlformats.org/officeDocument/2006/relationships/numbering" Target="numbering.xml"/><Relationship Id="rId16" Type="http://schemas.openxmlformats.org/officeDocument/2006/relationships/hyperlink" Target="https://www.priorysouthsea.org/wp-content/uploads/2025/03/BET-Supporting-Children-with-Medical-Conditions-Spring-Term-2025.pdf"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pdoyle@bohunt.hants.sch.uk" TargetMode="External"/><Relationship Id="rId5" Type="http://schemas.openxmlformats.org/officeDocument/2006/relationships/webSettings" Target="webSettings.xml"/><Relationship Id="rId15" Type="http://schemas.openxmlformats.org/officeDocument/2006/relationships/hyperlink" Target="https://www.priorysouthsea.org/wp-content/uploads/2025/03/Priory-Accessibility-Policy-Plan-Spring-Term-2025.pdf" TargetMode="External"/><Relationship Id="rId10" Type="http://schemas.openxmlformats.org/officeDocument/2006/relationships/hyperlink" Target="mailto:nchoudhury@priorysouthsea.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busby@priorysouthsea.org" TargetMode="External"/><Relationship Id="rId14" Type="http://schemas.openxmlformats.org/officeDocument/2006/relationships/hyperlink" Target="https://www.priorysouthsea.org/wp-content/uploads/2025/03/BET-SEND-Policy-Spring-Term-2025.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69plUy0n1n+J1zKbdsNxcYHa/A==">CgMxLjAyDmguaHZzOHk2ZmY4N2FyMg5oLmFocWV3Mnl1c2s5aTgAciExMllqaTR3dFVDZWxzNTJRLXpoSFJwYTBHekF3OTE5bGw=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3205</Words>
  <Characters>18275</Characters>
  <Application>Microsoft Office Word</Application>
  <DocSecurity>0</DocSecurity>
  <Lines>152</Lines>
  <Paragraphs>42</Paragraphs>
  <ScaleCrop>false</ScaleCrop>
  <Company/>
  <LinksUpToDate>false</LinksUpToDate>
  <CharactersWithSpaces>21438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P.Doyle | The Costello School</dc:creator>
  <cp:lastModifiedBy>Alison Busby</cp:lastModifiedBy>
  <cp:revision>2</cp:revision>
  <dcterms:created xsi:type="dcterms:W3CDTF">2026-10-16T08:19:00Z</dcterms:created>
  <dcterms:modified xsi:type="dcterms:W3CDTF">2026-10-16T08:19:00Z</dcterms:modified>
</cp:coreProperties>
</file>